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962258694"/>
        <w:docPartObj>
          <w:docPartGallery w:val="Cover Pages"/>
          <w:docPartUnique/>
        </w:docPartObj>
      </w:sdtPr>
      <w:sdtContent>
        <w:p w:rsidR="00B06EEB" w:rsidRPr="00DE3690" w:rsidRDefault="007E52D5">
          <w:pPr>
            <w:rPr>
              <w:sz w:val="24"/>
              <w:szCs w:val="24"/>
            </w:rPr>
          </w:pPr>
          <w:r>
            <w:rPr>
              <w:noProof/>
              <w:sz w:val="24"/>
              <w:szCs w:val="24"/>
            </w:rPr>
            <w:pict>
              <v:group id="Grupo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aJqWtkAAAAGAQAADwAAAGRycy9kb3ducmV2Lnht&#10;bEyPQW/CMAyF75P2HyJP2m2kZRvbuqYIoXFGFC7cQuM11RKnagKUfz+zy7hYfnrWe5/L+eidOOEQ&#10;u0AK8kkGAqkJpqNWwW67enoHEZMmo10gVHDBCPPq/q7UhQln2uCpTq3gEIqFVmBT6gspY2PR6zgJ&#10;PRJ732HwOrEcWmkGfeZw7+Q0y2bS6464weoelxabn/rouTeu376c9OvLuLLLxXPo9riplXp8GBef&#10;IBKO6f8YrviMDhUzHcKRTBROAT+S/ubVy1+nrA+8feQvIKtS3uJXv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">
                <v:shape id="Retâ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tâ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w:r>
          <w:r>
            <w:rPr>
              <w:noProof/>
              <w:sz w:val="24"/>
              <w:szCs w:val="24"/>
            </w:rPr>
            <w:pict>
              <v:shapetype id="_x0000_t202" coordsize="21600,21600" o:spt="202" path="m,l,21600r21600,l21600,xe">
                <v:stroke joinstyle="miter"/>
                <v:path gradientshapeok="t" o:connecttype="rect"/>
              </v:shapetype>
              <v:shape id="Caixa de Texto 152" o:spid="_x0000_s1033"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D9gwIAAGc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AXpmD9&#10;gwIAAGc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E52D5" w:rsidRDefault="007E52D5">
                          <w:pPr>
                            <w:pStyle w:val="SemEspaamento"/>
                            <w:jc w:val="right"/>
                            <w:rPr>
                              <w:color w:val="595959" w:themeColor="text1" w:themeTint="A6"/>
                              <w:sz w:val="28"/>
                              <w:szCs w:val="28"/>
                            </w:rPr>
                          </w:pPr>
                          <w:r>
                            <w:rPr>
                              <w:color w:val="595959" w:themeColor="text1" w:themeTint="A6"/>
                              <w:sz w:val="28"/>
                              <w:szCs w:val="28"/>
                            </w:rPr>
                            <w:t>IPESMUC</w:t>
                          </w:r>
                        </w:p>
                      </w:sdtContent>
                    </w:sdt>
                  </w:txbxContent>
                </v:textbox>
                <w10:wrap type="square" anchorx="page" anchory="page"/>
              </v:shape>
            </w:pict>
          </w:r>
          <w:r>
            <w:rPr>
              <w:noProof/>
              <w:sz w:val="24"/>
              <w:szCs w:val="24"/>
            </w:rPr>
            <w:pict>
              <v:shape id="Caixa de Texto 154" o:spid="_x0000_s1032"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OJhwIAAG8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NHQ&#10;k4mHAgAAbwUAAA4AAAAAAAAAAAAAAAAALgIAAGRycy9lMm9Eb2MueG1sUEsBAi0AFAAGAAgAAAAh&#10;AMNNUIDbAAAABgEAAA8AAAAAAAAAAAAAAAAA4QQAAGRycy9kb3ducmV2LnhtbFBLBQYAAAAABAAE&#10;APMAAADpBQAAAAA=&#10;" filled="f" stroked="f" strokeweight=".5pt">
                <v:textbox inset="126pt,0,54pt,0">
                  <w:txbxContent>
                    <w:p w:rsidR="007E52D5" w:rsidRDefault="007E52D5">
                      <w:pPr>
                        <w:jc w:val="right"/>
                        <w:rPr>
                          <w:color w:val="4F81BD" w:themeColor="accent1"/>
                          <w:sz w:val="64"/>
                          <w:szCs w:val="64"/>
                        </w:rPr>
                      </w:pPr>
                      <w:sdt>
                        <w:sdtPr>
                          <w:rPr>
                            <w:b/>
                            <w:caps/>
                            <w:color w:val="4F81BD" w:themeColor="accent1"/>
                            <w:sz w:val="72"/>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06EEB">
                            <w:rPr>
                              <w:b/>
                              <w:caps/>
                              <w:color w:val="4F81BD" w:themeColor="accent1"/>
                              <w:sz w:val="72"/>
                              <w:szCs w:val="64"/>
                            </w:rPr>
                            <w:t>Política de Investimentos</w:t>
                          </w:r>
                        </w:sdtContent>
                      </w:sdt>
                    </w:p>
                    <w:sdt>
                      <w:sdtPr>
                        <w:rPr>
                          <w:b/>
                          <w:color w:val="404040" w:themeColor="text1" w:themeTint="BF"/>
                          <w:sz w:val="40"/>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7E52D5" w:rsidRPr="00B06EEB" w:rsidRDefault="007E52D5">
                          <w:pPr>
                            <w:jc w:val="right"/>
                            <w:rPr>
                              <w:b/>
                              <w:smallCaps/>
                              <w:color w:val="404040" w:themeColor="text1" w:themeTint="BF"/>
                              <w:sz w:val="40"/>
                              <w:szCs w:val="36"/>
                            </w:rPr>
                          </w:pPr>
                          <w:r>
                            <w:rPr>
                              <w:b/>
                              <w:color w:val="404040" w:themeColor="text1" w:themeTint="BF"/>
                              <w:sz w:val="40"/>
                              <w:szCs w:val="36"/>
                            </w:rPr>
                            <w:t>2019</w:t>
                          </w:r>
                        </w:p>
                      </w:sdtContent>
                    </w:sdt>
                  </w:txbxContent>
                </v:textbox>
                <w10:wrap type="square" anchorx="page" anchory="page"/>
              </v:shape>
            </w:pict>
          </w:r>
        </w:p>
        <w:p w:rsidR="00B06EEB" w:rsidRPr="00DE3690" w:rsidRDefault="007E52D5">
          <w:pPr>
            <w:rPr>
              <w:sz w:val="24"/>
              <w:szCs w:val="24"/>
            </w:rPr>
          </w:pPr>
          <w:r>
            <w:rPr>
              <w:noProof/>
              <w:sz w:val="24"/>
              <w:szCs w:val="24"/>
            </w:rPr>
            <w:pict>
              <v:shape id="Caixa de Texto 153" o:spid="_x0000_s1031" type="#_x0000_t202" style="position:absolute;margin-left:197.2pt;margin-top:606.7pt;width:380.5pt;height:79.5pt;z-index:25166643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" filled="f" stroked="f" strokeweight=".5pt">
                <v:textbox style="mso-fit-shape-to-text:t" inset="126pt,0,54pt,0">
                  <w:txbxContent>
                    <w:p w:rsidR="007E52D5" w:rsidRDefault="007E52D5">
                      <w:pPr>
                        <w:pStyle w:val="SemEspaamento"/>
                        <w:jc w:val="right"/>
                        <w:rPr>
                          <w:color w:val="4F81BD" w:themeColor="accent1"/>
                          <w:sz w:val="28"/>
                          <w:szCs w:val="28"/>
                        </w:rPr>
                      </w:pPr>
                      <w:r>
                        <w:rPr>
                          <w:color w:val="4F81BD" w:themeColor="accent1"/>
                          <w:sz w:val="28"/>
                          <w:szCs w:val="28"/>
                        </w:rPr>
                        <w:t>Resumo</w:t>
                      </w:r>
                    </w:p>
                    <w:sdt>
                      <w:sdtPr>
                        <w:rPr>
                          <w:color w:val="595959" w:themeColor="text1" w:themeTint="A6"/>
                          <w:sz w:val="20"/>
                          <w:szCs w:val="20"/>
                        </w:rPr>
                        <w:alias w:val="Resumo"/>
                        <w:tag w:val=""/>
                        <w:id w:val="1375273687"/>
                        <w:dataBinding w:prefixMappings="xmlns:ns0='http://schemas.microsoft.com/office/2006/coverPageProps' " w:xpath="/ns0:CoverPageProperties[1]/ns0:Abstract[1]" w:storeItemID="{55AF091B-3C7A-41E3-B477-F2FDAA23CFDA}"/>
                        <w:text w:multiLine="1"/>
                      </w:sdtPr>
                      <w:sdtContent>
                        <w:p w:rsidR="007E52D5" w:rsidRDefault="007E52D5">
                          <w:pPr>
                            <w:pStyle w:val="SemEspaamento"/>
                            <w:jc w:val="right"/>
                            <w:rPr>
                              <w:color w:val="595959" w:themeColor="text1" w:themeTint="A6"/>
                              <w:sz w:val="20"/>
                              <w:szCs w:val="20"/>
                            </w:rPr>
                          </w:pPr>
                          <w:r w:rsidRPr="00B06EEB">
                            <w:rPr>
                              <w:color w:val="595959" w:themeColor="text1" w:themeTint="A6"/>
                              <w:sz w:val="20"/>
                              <w:szCs w:val="20"/>
                            </w:rPr>
                            <w:t xml:space="preserve">Este documento aborda o processo de seleção e alocação de valores mobiliários do </w:t>
                          </w:r>
                          <w:r>
                            <w:rPr>
                              <w:color w:val="595959" w:themeColor="text1" w:themeTint="A6"/>
                              <w:sz w:val="20"/>
                              <w:szCs w:val="20"/>
                            </w:rPr>
                            <w:t>IPESMUC</w:t>
                          </w:r>
                          <w:r w:rsidRPr="00B06EEB">
                            <w:rPr>
                              <w:color w:val="595959" w:themeColor="text1" w:themeTint="A6"/>
                              <w:sz w:val="20"/>
                              <w:szCs w:val="20"/>
                            </w:rPr>
                            <w:t xml:space="preserve">, </w:t>
                          </w:r>
                          <w:r>
                            <w:rPr>
                              <w:color w:val="595959" w:themeColor="text1" w:themeTint="A6"/>
                              <w:sz w:val="20"/>
                              <w:szCs w:val="20"/>
                            </w:rPr>
                            <w:t>d</w:t>
                          </w:r>
                          <w:r w:rsidRPr="00B06EEB">
                            <w:rPr>
                              <w:color w:val="595959" w:themeColor="text1" w:themeTint="A6"/>
                              <w:sz w:val="20"/>
                              <w:szCs w:val="20"/>
                            </w:rPr>
                            <w:t>e acordo com a legislação vigente.</w:t>
                          </w:r>
                        </w:p>
                      </w:sdtContent>
                    </w:sdt>
                  </w:txbxContent>
                </v:textbox>
                <w10:wrap type="square" anchorx="page" anchory="page"/>
              </v:shape>
            </w:pict>
          </w:r>
          <w:r w:rsidR="00B06EEB" w:rsidRPr="00DE3690">
            <w:rPr>
              <w:sz w:val="24"/>
              <w:szCs w:val="24"/>
            </w:rPr>
            <w:br w:type="page"/>
          </w:r>
        </w:p>
      </w:sdtContent>
    </w:sdt>
    <w:sdt>
      <w:sdtPr>
        <w:rPr>
          <w:rFonts w:asciiTheme="minorHAnsi" w:eastAsiaTheme="minorHAnsi" w:hAnsiTheme="minorHAnsi" w:cstheme="minorBidi"/>
          <w:color w:val="auto"/>
          <w:sz w:val="24"/>
          <w:szCs w:val="24"/>
          <w:lang w:eastAsia="en-US"/>
        </w:rPr>
        <w:id w:val="-207881372"/>
        <w:docPartObj>
          <w:docPartGallery w:val="Table of Contents"/>
          <w:docPartUnique/>
        </w:docPartObj>
      </w:sdtPr>
      <w:sdtEndPr>
        <w:rPr>
          <w:b/>
          <w:bCs/>
        </w:rPr>
      </w:sdtEndPr>
      <w:sdtContent>
        <w:p w:rsidR="00D57A99" w:rsidRPr="00DE3690" w:rsidRDefault="00D57A99">
          <w:pPr>
            <w:pStyle w:val="CabealhodoSumrio"/>
            <w:rPr>
              <w:rFonts w:asciiTheme="minorHAnsi" w:hAnsiTheme="minorHAnsi"/>
              <w:color w:val="auto"/>
              <w:sz w:val="24"/>
              <w:szCs w:val="24"/>
            </w:rPr>
          </w:pPr>
          <w:r w:rsidRPr="00DE3690">
            <w:rPr>
              <w:rFonts w:asciiTheme="minorHAnsi" w:hAnsiTheme="minorHAnsi"/>
              <w:color w:val="auto"/>
              <w:sz w:val="24"/>
              <w:szCs w:val="24"/>
            </w:rPr>
            <w:t>Sumário</w:t>
          </w:r>
        </w:p>
        <w:p w:rsidR="006F3EED" w:rsidRPr="00DE3690" w:rsidRDefault="00E15FA7">
          <w:pPr>
            <w:pStyle w:val="Sumrio1"/>
            <w:rPr>
              <w:rFonts w:eastAsiaTheme="minorEastAsia"/>
              <w:noProof/>
              <w:lang w:eastAsia="pt-BR"/>
            </w:rPr>
          </w:pPr>
          <w:r w:rsidRPr="00DE3690">
            <w:rPr>
              <w:b/>
              <w:bCs/>
              <w:sz w:val="24"/>
              <w:szCs w:val="24"/>
            </w:rPr>
            <w:fldChar w:fldCharType="begin"/>
          </w:r>
          <w:r w:rsidR="00D57A99" w:rsidRPr="00DE3690">
            <w:rPr>
              <w:b/>
              <w:bCs/>
              <w:sz w:val="24"/>
              <w:szCs w:val="24"/>
            </w:rPr>
            <w:instrText xml:space="preserve"> TOC \o "1-3" \h \z \u </w:instrText>
          </w:r>
          <w:r w:rsidRPr="00DE3690">
            <w:rPr>
              <w:b/>
              <w:bCs/>
              <w:sz w:val="24"/>
              <w:szCs w:val="24"/>
            </w:rPr>
            <w:fldChar w:fldCharType="separate"/>
          </w:r>
          <w:hyperlink w:anchor="_Toc525634166" w:history="1">
            <w:r w:rsidR="006F3EED" w:rsidRPr="00DE3690">
              <w:rPr>
                <w:rStyle w:val="Hyperlink"/>
                <w:caps/>
                <w:noProof/>
                <w:color w:val="auto"/>
              </w:rPr>
              <w:t>I - INTRODUÇÃO</w:t>
            </w:r>
            <w:r w:rsidR="006F3EED" w:rsidRPr="00DE3690">
              <w:rPr>
                <w:noProof/>
                <w:webHidden/>
              </w:rPr>
              <w:tab/>
            </w:r>
            <w:r w:rsidRPr="00DE3690">
              <w:rPr>
                <w:noProof/>
                <w:webHidden/>
              </w:rPr>
              <w:fldChar w:fldCharType="begin"/>
            </w:r>
            <w:r w:rsidR="006F3EED" w:rsidRPr="00DE3690">
              <w:rPr>
                <w:noProof/>
                <w:webHidden/>
              </w:rPr>
              <w:instrText xml:space="preserve"> PAGEREF _Toc525634166 \h </w:instrText>
            </w:r>
            <w:r w:rsidRPr="00DE3690">
              <w:rPr>
                <w:noProof/>
                <w:webHidden/>
              </w:rPr>
            </w:r>
            <w:r w:rsidRPr="00DE3690">
              <w:rPr>
                <w:noProof/>
                <w:webHidden/>
              </w:rPr>
              <w:fldChar w:fldCharType="separate"/>
            </w:r>
            <w:r w:rsidR="008B7DEA">
              <w:rPr>
                <w:noProof/>
                <w:webHidden/>
              </w:rPr>
              <w:t>2</w:t>
            </w:r>
            <w:r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167" w:history="1">
            <w:r w:rsidR="006F3EED" w:rsidRPr="00DE3690">
              <w:rPr>
                <w:rStyle w:val="Hyperlink"/>
                <w:caps/>
                <w:noProof/>
                <w:color w:val="auto"/>
              </w:rPr>
              <w:t>II – CONCEITOS E DEFINIÇÕES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_Toc525634167 \h </w:instrText>
            </w:r>
            <w:r w:rsidR="00E15FA7" w:rsidRPr="00DE3690">
              <w:rPr>
                <w:noProof/>
                <w:webHidden/>
              </w:rPr>
            </w:r>
            <w:r w:rsidR="00E15FA7" w:rsidRPr="00DE3690">
              <w:rPr>
                <w:noProof/>
                <w:webHidden/>
              </w:rPr>
              <w:fldChar w:fldCharType="separate"/>
            </w:r>
            <w:r w:rsidR="008B7DEA">
              <w:rPr>
                <w:noProof/>
                <w:webHidden/>
              </w:rPr>
              <w:t>2</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68" w:history="1">
            <w:r w:rsidR="006F3EED" w:rsidRPr="00DE3690">
              <w:rPr>
                <w:rStyle w:val="Hyperlink"/>
                <w:noProof/>
                <w:color w:val="auto"/>
              </w:rPr>
              <w:t>Modelo de gestão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_Toc525634168 \h </w:instrText>
            </w:r>
            <w:r w:rsidR="00E15FA7" w:rsidRPr="00DE3690">
              <w:rPr>
                <w:noProof/>
                <w:webHidden/>
              </w:rPr>
            </w:r>
            <w:r w:rsidR="00E15FA7" w:rsidRPr="00DE3690">
              <w:rPr>
                <w:noProof/>
                <w:webHidden/>
              </w:rPr>
              <w:fldChar w:fldCharType="separate"/>
            </w:r>
            <w:r w:rsidR="008B7DEA">
              <w:rPr>
                <w:noProof/>
                <w:webHidden/>
              </w:rPr>
              <w:t>2</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69" w:history="1">
            <w:r w:rsidR="006F3EED" w:rsidRPr="00DE3690">
              <w:rPr>
                <w:rStyle w:val="Hyperlink"/>
                <w:noProof/>
                <w:color w:val="auto"/>
              </w:rPr>
              <w:t>Meta Atuarial</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_Toc525634169 \h </w:instrText>
            </w:r>
            <w:r w:rsidR="00E15FA7" w:rsidRPr="00DE3690">
              <w:rPr>
                <w:noProof/>
                <w:webHidden/>
              </w:rPr>
            </w:r>
            <w:r w:rsidR="00E15FA7" w:rsidRPr="00DE3690">
              <w:rPr>
                <w:noProof/>
                <w:webHidden/>
              </w:rPr>
              <w:fldChar w:fldCharType="separate"/>
            </w:r>
            <w:r w:rsidR="008B7DEA">
              <w:rPr>
                <w:noProof/>
                <w:webHidden/>
              </w:rPr>
              <w:t>2</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0" w:history="1">
            <w:r w:rsidR="006F3EED" w:rsidRPr="00DE3690">
              <w:rPr>
                <w:rStyle w:val="Hyperlink"/>
                <w:noProof/>
                <w:color w:val="auto"/>
              </w:rPr>
              <w:t>Comitê de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_Toc525634170 \h </w:instrText>
            </w:r>
            <w:r w:rsidR="00E15FA7" w:rsidRPr="00DE3690">
              <w:rPr>
                <w:noProof/>
                <w:webHidden/>
              </w:rPr>
              <w:fldChar w:fldCharType="separate"/>
            </w:r>
            <w:r w:rsidR="008B7DEA">
              <w:rPr>
                <w:b/>
                <w:bCs/>
                <w:noProof/>
                <w:webHidden/>
              </w:rPr>
              <w:t>Erro! Indicador não definido.</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1" w:history="1">
            <w:r w:rsidR="006F3EED" w:rsidRPr="00DE3690">
              <w:rPr>
                <w:rStyle w:val="Hyperlink"/>
                <w:noProof/>
                <w:color w:val="auto"/>
              </w:rPr>
              <w:t>Transparência e Governança</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_Toc525634171 \h </w:instrText>
            </w:r>
            <w:r w:rsidR="00E15FA7" w:rsidRPr="00DE3690">
              <w:rPr>
                <w:noProof/>
                <w:webHidden/>
              </w:rPr>
            </w:r>
            <w:r w:rsidR="00E15FA7" w:rsidRPr="00DE3690">
              <w:rPr>
                <w:noProof/>
                <w:webHidden/>
              </w:rPr>
              <w:fldChar w:fldCharType="separate"/>
            </w:r>
            <w:r w:rsidR="008B7DEA">
              <w:rPr>
                <w:noProof/>
                <w:webHidden/>
              </w:rPr>
              <w:t>3</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2" w:history="1">
            <w:r w:rsidR="006F3EED" w:rsidRPr="00DE3690">
              <w:rPr>
                <w:rStyle w:val="Hyperlink"/>
                <w:noProof/>
                <w:color w:val="auto"/>
              </w:rPr>
              <w:t>Credenciamento das Instituições Financeiras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_Toc525634172 \h </w:instrText>
            </w:r>
            <w:r w:rsidR="00E15FA7" w:rsidRPr="00DE3690">
              <w:rPr>
                <w:noProof/>
                <w:webHidden/>
              </w:rPr>
            </w:r>
            <w:r w:rsidR="00E15FA7" w:rsidRPr="00DE3690">
              <w:rPr>
                <w:noProof/>
                <w:webHidden/>
              </w:rPr>
              <w:fldChar w:fldCharType="separate"/>
            </w:r>
            <w:r w:rsidR="008B7DEA">
              <w:rPr>
                <w:noProof/>
                <w:webHidden/>
              </w:rPr>
              <w:t>4</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3" w:history="1">
            <w:r w:rsidR="006F3EED" w:rsidRPr="00DE3690">
              <w:rPr>
                <w:rStyle w:val="Hyperlink"/>
                <w:noProof/>
                <w:color w:val="auto"/>
              </w:rPr>
              <w:t>Tipo de Investidor</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_Toc525634173 \h </w:instrText>
            </w:r>
            <w:r w:rsidR="00E15FA7" w:rsidRPr="00DE3690">
              <w:rPr>
                <w:noProof/>
                <w:webHidden/>
              </w:rPr>
            </w:r>
            <w:r w:rsidR="00E15FA7" w:rsidRPr="00DE3690">
              <w:rPr>
                <w:noProof/>
                <w:webHidden/>
              </w:rPr>
              <w:fldChar w:fldCharType="separate"/>
            </w:r>
            <w:r w:rsidR="008B7DEA">
              <w:rPr>
                <w:noProof/>
                <w:webHidden/>
              </w:rPr>
              <w:t>4</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4" w:history="1">
            <w:r w:rsidR="006F3EED" w:rsidRPr="00DE3690">
              <w:rPr>
                <w:rStyle w:val="Hyperlink"/>
                <w:noProof/>
                <w:color w:val="auto"/>
              </w:rPr>
              <w:t>Consultoria de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_Toc525634174 \h </w:instrText>
            </w:r>
            <w:r w:rsidR="00E15FA7" w:rsidRPr="00DE3690">
              <w:rPr>
                <w:noProof/>
                <w:webHidden/>
              </w:rPr>
            </w:r>
            <w:r w:rsidR="00E15FA7" w:rsidRPr="00DE3690">
              <w:rPr>
                <w:noProof/>
                <w:webHidden/>
              </w:rPr>
              <w:fldChar w:fldCharType="separate"/>
            </w:r>
            <w:r w:rsidR="008B7DEA">
              <w:rPr>
                <w:noProof/>
                <w:webHidden/>
              </w:rPr>
              <w:t>5</w:t>
            </w:r>
            <w:r w:rsidR="00E15FA7"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175" w:history="1">
            <w:r w:rsidR="006F3EED" w:rsidRPr="00DE3690">
              <w:rPr>
                <w:rStyle w:val="Hyperlink"/>
                <w:caps/>
                <w:noProof/>
                <w:color w:val="auto"/>
              </w:rPr>
              <w:t>III - PREMISSAS DE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_Toc525634175 \h </w:instrText>
            </w:r>
            <w:r w:rsidR="00E15FA7" w:rsidRPr="00DE3690">
              <w:rPr>
                <w:noProof/>
                <w:webHidden/>
              </w:rPr>
            </w:r>
            <w:r w:rsidR="00E15FA7" w:rsidRPr="00DE3690">
              <w:rPr>
                <w:noProof/>
                <w:webHidden/>
              </w:rPr>
              <w:fldChar w:fldCharType="separate"/>
            </w:r>
            <w:r w:rsidR="008B7DEA">
              <w:rPr>
                <w:noProof/>
                <w:webHidden/>
              </w:rPr>
              <w:t>5</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6" w:history="1">
            <w:r w:rsidR="006F3EED" w:rsidRPr="00DE3690">
              <w:rPr>
                <w:rStyle w:val="Hyperlink"/>
                <w:noProof/>
                <w:color w:val="auto"/>
              </w:rPr>
              <w:t>Análise e Seleção de Ativos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_Toc525634176 \h </w:instrText>
            </w:r>
            <w:r w:rsidR="00E15FA7" w:rsidRPr="00DE3690">
              <w:rPr>
                <w:noProof/>
                <w:webHidden/>
              </w:rPr>
            </w:r>
            <w:r w:rsidR="00E15FA7" w:rsidRPr="00DE3690">
              <w:rPr>
                <w:noProof/>
                <w:webHidden/>
              </w:rPr>
              <w:fldChar w:fldCharType="separate"/>
            </w:r>
            <w:r w:rsidR="008B7DEA">
              <w:rPr>
                <w:noProof/>
                <w:webHidden/>
              </w:rPr>
              <w:t>5</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77" w:history="1">
            <w:r w:rsidR="006F3EED" w:rsidRPr="00DE3690">
              <w:rPr>
                <w:rStyle w:val="Hyperlink"/>
                <w:noProof/>
                <w:color w:val="auto"/>
              </w:rPr>
              <w:t>Gerenciamento de Risco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_Toc525634177 \h </w:instrText>
            </w:r>
            <w:r w:rsidR="00E15FA7" w:rsidRPr="00DE3690">
              <w:rPr>
                <w:noProof/>
                <w:webHidden/>
              </w:rPr>
            </w:r>
            <w:r w:rsidR="00E15FA7" w:rsidRPr="00DE3690">
              <w:rPr>
                <w:noProof/>
                <w:webHidden/>
              </w:rPr>
              <w:fldChar w:fldCharType="separate"/>
            </w:r>
            <w:r w:rsidR="008B7DEA">
              <w:rPr>
                <w:noProof/>
                <w:webHidden/>
              </w:rPr>
              <w:t>5</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78" w:history="1">
            <w:r w:rsidR="006F3EED" w:rsidRPr="00DE3690">
              <w:rPr>
                <w:rStyle w:val="Hyperlink"/>
                <w:noProof/>
                <w:color w:val="auto"/>
              </w:rPr>
              <w:t>Risco de Mercado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_Toc525634178 \h </w:instrText>
            </w:r>
            <w:r w:rsidR="00E15FA7" w:rsidRPr="00DE3690">
              <w:rPr>
                <w:noProof/>
                <w:webHidden/>
              </w:rPr>
            </w:r>
            <w:r w:rsidR="00E15FA7" w:rsidRPr="00DE3690">
              <w:rPr>
                <w:noProof/>
                <w:webHidden/>
              </w:rPr>
              <w:fldChar w:fldCharType="separate"/>
            </w:r>
            <w:r w:rsidR="008B7DEA">
              <w:rPr>
                <w:noProof/>
                <w:webHidden/>
              </w:rPr>
              <w:t>5</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79" w:history="1">
            <w:r w:rsidR="006F3EED" w:rsidRPr="00DE3690">
              <w:rPr>
                <w:rStyle w:val="Hyperlink"/>
                <w:noProof/>
                <w:color w:val="auto"/>
              </w:rPr>
              <w:t>Risco de Crédito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_Toc525634179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80" w:history="1">
            <w:r w:rsidR="006F3EED" w:rsidRPr="00DE3690">
              <w:rPr>
                <w:rStyle w:val="Hyperlink"/>
                <w:noProof/>
                <w:color w:val="auto"/>
              </w:rPr>
              <w:t>Risco de Concentração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_Toc525634180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81" w:history="1">
            <w:r w:rsidR="006F3EED" w:rsidRPr="00DE3690">
              <w:rPr>
                <w:rStyle w:val="Hyperlink"/>
                <w:noProof/>
                <w:color w:val="auto"/>
              </w:rPr>
              <w:t>Risco de Liquidez</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_Toc525634181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82" w:history="1">
            <w:r w:rsidR="006F3EED" w:rsidRPr="00DE3690">
              <w:rPr>
                <w:rStyle w:val="Hyperlink"/>
                <w:noProof/>
                <w:color w:val="auto"/>
              </w:rPr>
              <w:t>Fundos de Investimentos em Cotas de Fundos (FIC)</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_Toc525634182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83" w:history="1">
            <w:r w:rsidR="006F3EED" w:rsidRPr="00DE3690">
              <w:rPr>
                <w:rStyle w:val="Hyperlink"/>
                <w:noProof/>
                <w:color w:val="auto"/>
              </w:rPr>
              <w:t>Fundo Garantidor de Créditos (FGC)</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_Toc525634183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184" w:history="1">
            <w:r w:rsidR="006F3EED" w:rsidRPr="00DE3690">
              <w:rPr>
                <w:rStyle w:val="Hyperlink"/>
                <w:caps/>
                <w:noProof/>
                <w:color w:val="auto"/>
              </w:rPr>
              <w:t>IV - CLASSES DE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_Toc525634184 \h </w:instrText>
            </w:r>
            <w:r w:rsidR="00E15FA7" w:rsidRPr="00DE3690">
              <w:rPr>
                <w:noProof/>
                <w:webHidden/>
              </w:rPr>
            </w:r>
            <w:r w:rsidR="00E15FA7" w:rsidRPr="00DE3690">
              <w:rPr>
                <w:noProof/>
                <w:webHidden/>
              </w:rPr>
              <w:fldChar w:fldCharType="separate"/>
            </w:r>
            <w:r w:rsidR="008B7DEA">
              <w:rPr>
                <w:noProof/>
                <w:webHidden/>
              </w:rPr>
              <w:t>6</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85" w:history="1">
            <w:r w:rsidR="006F3EED" w:rsidRPr="00DE3690">
              <w:rPr>
                <w:rStyle w:val="Hyperlink"/>
                <w:noProof/>
                <w:color w:val="auto"/>
              </w:rPr>
              <w:t>A) Títulos Públicos – Fundos Renda Fixa Títulos Públicos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_Toc525634185 \h </w:instrText>
            </w:r>
            <w:r w:rsidR="00E15FA7" w:rsidRPr="00DE3690">
              <w:rPr>
                <w:noProof/>
                <w:webHidden/>
              </w:rPr>
            </w:r>
            <w:r w:rsidR="00E15FA7" w:rsidRPr="00DE3690">
              <w:rPr>
                <w:noProof/>
                <w:webHidden/>
              </w:rPr>
              <w:fldChar w:fldCharType="separate"/>
            </w:r>
            <w:r w:rsidR="008B7DEA">
              <w:rPr>
                <w:noProof/>
                <w:webHidden/>
              </w:rPr>
              <w:t>8</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86" w:history="1">
            <w:r w:rsidR="006F3EED" w:rsidRPr="00DE3690">
              <w:rPr>
                <w:rStyle w:val="Hyperlink"/>
                <w:noProof/>
                <w:color w:val="auto"/>
              </w:rPr>
              <w:t>a.1) Títulos Públicos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_Toc525634186 \h </w:instrText>
            </w:r>
            <w:r w:rsidR="00E15FA7" w:rsidRPr="00DE3690">
              <w:rPr>
                <w:noProof/>
                <w:webHidden/>
              </w:rPr>
            </w:r>
            <w:r w:rsidR="00E15FA7" w:rsidRPr="00DE3690">
              <w:rPr>
                <w:noProof/>
                <w:webHidden/>
              </w:rPr>
              <w:fldChar w:fldCharType="separate"/>
            </w:r>
            <w:r w:rsidR="008B7DEA">
              <w:rPr>
                <w:noProof/>
                <w:webHidden/>
              </w:rPr>
              <w:t>8</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87" w:history="1">
            <w:r w:rsidR="006F3EED" w:rsidRPr="00DE3690">
              <w:rPr>
                <w:rStyle w:val="Hyperlink"/>
                <w:noProof/>
                <w:color w:val="auto"/>
              </w:rPr>
              <w:t>a.2) Fundos de Índice de Renda Fixa 100% Títulos Públicos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_Toc525634187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88" w:history="1">
            <w:r w:rsidR="006F3EED" w:rsidRPr="00DE3690">
              <w:rPr>
                <w:rStyle w:val="Hyperlink"/>
                <w:noProof/>
                <w:color w:val="auto"/>
              </w:rPr>
              <w:t>B) Títulos Privados - Fundos Renda Fixa Crédito Privado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_Toc525634188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89" w:history="1">
            <w:r w:rsidR="006F3EED" w:rsidRPr="00DE3690">
              <w:rPr>
                <w:rStyle w:val="Hyperlink"/>
                <w:noProof/>
                <w:color w:val="auto"/>
              </w:rPr>
              <w:t>b.1) Títulos Privados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_Toc525634189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0" w:history="1">
            <w:r w:rsidR="006F3EED" w:rsidRPr="00DE3690">
              <w:rPr>
                <w:rStyle w:val="Hyperlink"/>
                <w:noProof/>
                <w:color w:val="auto"/>
              </w:rPr>
              <w:t>b.2) Fundos de Renda Fixa Abertos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_Toc525634190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1" w:history="1">
            <w:r w:rsidR="006F3EED" w:rsidRPr="00DE3690">
              <w:rPr>
                <w:rStyle w:val="Hyperlink"/>
                <w:noProof/>
                <w:color w:val="auto"/>
              </w:rPr>
              <w:t>b.3) Fundos de Renda Fixa Crédito Privado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_Toc525634191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2" w:history="1">
            <w:r w:rsidR="006F3EED" w:rsidRPr="00DE3690">
              <w:rPr>
                <w:rStyle w:val="Hyperlink"/>
                <w:noProof/>
                <w:color w:val="auto"/>
              </w:rPr>
              <w:t>b.4) FIDC Abertos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_Toc525634192 \h </w:instrText>
            </w:r>
            <w:r w:rsidR="00E15FA7" w:rsidRPr="00DE3690">
              <w:rPr>
                <w:noProof/>
                <w:webHidden/>
              </w:rPr>
              <w:fldChar w:fldCharType="separate"/>
            </w:r>
            <w:r w:rsidR="008B7DEA">
              <w:rPr>
                <w:b/>
                <w:bCs/>
                <w:noProof/>
                <w:webHidden/>
              </w:rPr>
              <w:t>Erro! Indicador não definido.</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3" w:history="1">
            <w:r w:rsidR="006F3EED" w:rsidRPr="00DE3690">
              <w:rPr>
                <w:rStyle w:val="Hyperlink"/>
                <w:noProof/>
                <w:color w:val="auto"/>
              </w:rPr>
              <w:t>b.5) FI em Debêntures de Infraestrutura</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_Toc525634193 \h </w:instrText>
            </w:r>
            <w:r w:rsidR="00E15FA7" w:rsidRPr="00DE3690">
              <w:rPr>
                <w:noProof/>
                <w:webHidden/>
              </w:rPr>
            </w:r>
            <w:r w:rsidR="00E15FA7" w:rsidRPr="00DE3690">
              <w:rPr>
                <w:noProof/>
                <w:webHidden/>
              </w:rPr>
              <w:fldChar w:fldCharType="separate"/>
            </w:r>
            <w:r w:rsidR="008B7DEA">
              <w:rPr>
                <w:noProof/>
                <w:webHidden/>
              </w:rPr>
              <w:t>9</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94" w:history="1">
            <w:r w:rsidR="006F3EED" w:rsidRPr="00DE3690">
              <w:rPr>
                <w:rStyle w:val="Hyperlink"/>
                <w:noProof/>
                <w:color w:val="auto"/>
              </w:rPr>
              <w:t>C) Fundos de Renda Variável, Multimercados e Investimentos Estruturados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_Toc525634194 \h </w:instrText>
            </w:r>
            <w:r w:rsidR="00E15FA7" w:rsidRPr="00DE3690">
              <w:rPr>
                <w:noProof/>
                <w:webHidden/>
              </w:rPr>
            </w:r>
            <w:r w:rsidR="00E15FA7" w:rsidRPr="00DE3690">
              <w:rPr>
                <w:noProof/>
                <w:webHidden/>
              </w:rPr>
              <w:fldChar w:fldCharType="separate"/>
            </w:r>
            <w:r w:rsidR="008B7DEA">
              <w:rPr>
                <w:noProof/>
                <w:webHidden/>
              </w:rPr>
              <w:t>10</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5" w:history="1">
            <w:r w:rsidR="006F3EED" w:rsidRPr="00DE3690">
              <w:rPr>
                <w:rStyle w:val="Hyperlink"/>
                <w:noProof/>
                <w:color w:val="auto"/>
              </w:rPr>
              <w:t>c.1) Fundos de Índice de Ações ou Referenciados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_Toc525634195 \h </w:instrText>
            </w:r>
            <w:r w:rsidR="00E15FA7" w:rsidRPr="00DE3690">
              <w:rPr>
                <w:noProof/>
                <w:webHidden/>
              </w:rPr>
            </w:r>
            <w:r w:rsidR="00E15FA7" w:rsidRPr="00DE3690">
              <w:rPr>
                <w:noProof/>
                <w:webHidden/>
              </w:rPr>
              <w:fldChar w:fldCharType="separate"/>
            </w:r>
            <w:r w:rsidR="008B7DEA">
              <w:rPr>
                <w:noProof/>
                <w:webHidden/>
              </w:rPr>
              <w:t>10</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6" w:history="1">
            <w:r w:rsidR="006F3EED" w:rsidRPr="00DE3690">
              <w:rPr>
                <w:rStyle w:val="Hyperlink"/>
                <w:noProof/>
                <w:color w:val="auto"/>
              </w:rPr>
              <w:t>c.2) Fundos de Ações Abertos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_Toc525634196 \h </w:instrText>
            </w:r>
            <w:r w:rsidR="00E15FA7" w:rsidRPr="00DE3690">
              <w:rPr>
                <w:noProof/>
                <w:webHidden/>
              </w:rPr>
            </w:r>
            <w:r w:rsidR="00E15FA7" w:rsidRPr="00DE3690">
              <w:rPr>
                <w:noProof/>
                <w:webHidden/>
              </w:rPr>
              <w:fldChar w:fldCharType="separate"/>
            </w:r>
            <w:r w:rsidR="008B7DEA">
              <w:rPr>
                <w:noProof/>
                <w:webHidden/>
              </w:rPr>
              <w:t>10</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7" w:history="1">
            <w:r w:rsidR="006F3EED" w:rsidRPr="00DE3690">
              <w:rPr>
                <w:rStyle w:val="Hyperlink"/>
                <w:noProof/>
                <w:color w:val="auto"/>
              </w:rPr>
              <w:t>c.3) Fundos Multimercados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_Toc525634197 \h </w:instrText>
            </w:r>
            <w:r w:rsidR="00E15FA7" w:rsidRPr="00DE3690">
              <w:rPr>
                <w:noProof/>
                <w:webHidden/>
              </w:rPr>
            </w:r>
            <w:r w:rsidR="00E15FA7" w:rsidRPr="00DE3690">
              <w:rPr>
                <w:noProof/>
                <w:webHidden/>
              </w:rPr>
              <w:fldChar w:fldCharType="separate"/>
            </w:r>
            <w:r w:rsidR="008B7DEA">
              <w:rPr>
                <w:noProof/>
                <w:webHidden/>
              </w:rPr>
              <w:t>10</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198" w:history="1">
            <w:r w:rsidR="006F3EED" w:rsidRPr="00DE3690">
              <w:rPr>
                <w:rStyle w:val="Hyperlink"/>
                <w:noProof/>
                <w:color w:val="auto"/>
              </w:rPr>
              <w:t>D) Fundos Estruturados – Imobiliários e Participações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_Toc525634198 \h </w:instrText>
            </w:r>
            <w:r w:rsidR="00E15FA7" w:rsidRPr="00DE3690">
              <w:rPr>
                <w:noProof/>
                <w:webHidden/>
              </w:rPr>
            </w:r>
            <w:r w:rsidR="00E15FA7" w:rsidRPr="00DE3690">
              <w:rPr>
                <w:noProof/>
                <w:webHidden/>
              </w:rPr>
              <w:fldChar w:fldCharType="separate"/>
            </w:r>
            <w:r w:rsidR="008B7DEA">
              <w:rPr>
                <w:noProof/>
                <w:webHidden/>
              </w:rPr>
              <w:t>10</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199" w:history="1">
            <w:r w:rsidR="006F3EED" w:rsidRPr="00DE3690">
              <w:rPr>
                <w:rStyle w:val="Hyperlink"/>
                <w:noProof/>
                <w:color w:val="auto"/>
              </w:rPr>
              <w:t>d.1) FII – Fundos Imobiliários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_Toc525634199 \h </w:instrText>
            </w:r>
            <w:r w:rsidR="00E15FA7" w:rsidRPr="00DE3690">
              <w:rPr>
                <w:noProof/>
                <w:webHidden/>
              </w:rPr>
            </w:r>
            <w:r w:rsidR="00E15FA7" w:rsidRPr="00DE3690">
              <w:rPr>
                <w:noProof/>
                <w:webHidden/>
              </w:rPr>
              <w:fldChar w:fldCharType="separate"/>
            </w:r>
            <w:r w:rsidR="008B7DEA">
              <w:rPr>
                <w:noProof/>
                <w:webHidden/>
              </w:rPr>
              <w:t>11</w:t>
            </w:r>
            <w:r w:rsidR="00E15FA7" w:rsidRPr="00DE3690">
              <w:rPr>
                <w:noProof/>
                <w:webHidden/>
              </w:rPr>
              <w:fldChar w:fldCharType="end"/>
            </w:r>
          </w:hyperlink>
        </w:p>
        <w:p w:rsidR="006F3EED" w:rsidRPr="00DE3690" w:rsidRDefault="007E52D5">
          <w:pPr>
            <w:pStyle w:val="Sumrio3"/>
            <w:rPr>
              <w:rFonts w:eastAsiaTheme="minorEastAsia"/>
              <w:noProof/>
              <w:lang w:eastAsia="pt-BR"/>
            </w:rPr>
          </w:pPr>
          <w:hyperlink w:anchor="_Toc525634200" w:history="1">
            <w:r w:rsidR="006F3EED" w:rsidRPr="00DE3690">
              <w:rPr>
                <w:rStyle w:val="Hyperlink"/>
                <w:noProof/>
                <w:color w:val="auto"/>
              </w:rPr>
              <w:t>d.2) FIP – Fundos Participações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_Toc525634200 \h </w:instrText>
            </w:r>
            <w:r w:rsidR="00E15FA7" w:rsidRPr="00DE3690">
              <w:rPr>
                <w:noProof/>
                <w:webHidden/>
              </w:rPr>
              <w:fldChar w:fldCharType="separate"/>
            </w:r>
            <w:r w:rsidR="008B7DEA">
              <w:rPr>
                <w:b/>
                <w:bCs/>
                <w:noProof/>
                <w:webHidden/>
              </w:rPr>
              <w:t>Erro! Indicador não definido.</w:t>
            </w:r>
            <w:r w:rsidR="00E15FA7"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201" w:history="1">
            <w:r w:rsidR="006F3EED" w:rsidRPr="00DE3690">
              <w:rPr>
                <w:rStyle w:val="Hyperlink"/>
                <w:caps/>
                <w:noProof/>
                <w:color w:val="auto"/>
              </w:rPr>
              <w:t>V – PROCESSO DE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_Toc525634201 \h </w:instrText>
            </w:r>
            <w:r w:rsidR="00E15FA7" w:rsidRPr="00DE3690">
              <w:rPr>
                <w:noProof/>
                <w:webHidden/>
              </w:rPr>
            </w:r>
            <w:r w:rsidR="00E15FA7" w:rsidRPr="00DE3690">
              <w:rPr>
                <w:noProof/>
                <w:webHidden/>
              </w:rPr>
              <w:fldChar w:fldCharType="separate"/>
            </w:r>
            <w:r w:rsidR="008B7DEA">
              <w:rPr>
                <w:noProof/>
                <w:webHidden/>
              </w:rPr>
              <w:t>11</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202" w:history="1">
            <w:r w:rsidR="006F3EED" w:rsidRPr="00DE3690">
              <w:rPr>
                <w:rStyle w:val="Hyperlink"/>
                <w:noProof/>
                <w:color w:val="auto"/>
              </w:rPr>
              <w:t>Investimentos com características de mercado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_Toc525634202 \h </w:instrText>
            </w:r>
            <w:r w:rsidR="00E15FA7" w:rsidRPr="00DE3690">
              <w:rPr>
                <w:noProof/>
                <w:webHidden/>
              </w:rPr>
            </w:r>
            <w:r w:rsidR="00E15FA7" w:rsidRPr="00DE3690">
              <w:rPr>
                <w:noProof/>
                <w:webHidden/>
              </w:rPr>
              <w:fldChar w:fldCharType="separate"/>
            </w:r>
            <w:r w:rsidR="008B7DEA">
              <w:rPr>
                <w:noProof/>
                <w:webHidden/>
              </w:rPr>
              <w:t>11</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203" w:history="1">
            <w:r w:rsidR="006F3EED" w:rsidRPr="00DE3690">
              <w:rPr>
                <w:rStyle w:val="Hyperlink"/>
                <w:noProof/>
                <w:color w:val="auto"/>
              </w:rPr>
              <w:t>Investimentos com características de crédito</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_Toc525634203 \h </w:instrText>
            </w:r>
            <w:r w:rsidR="00E15FA7" w:rsidRPr="00DE3690">
              <w:rPr>
                <w:noProof/>
                <w:webHidden/>
              </w:rPr>
            </w:r>
            <w:r w:rsidR="00E15FA7" w:rsidRPr="00DE3690">
              <w:rPr>
                <w:noProof/>
                <w:webHidden/>
              </w:rPr>
              <w:fldChar w:fldCharType="separate"/>
            </w:r>
            <w:r w:rsidR="008B7DEA">
              <w:rPr>
                <w:noProof/>
                <w:webHidden/>
              </w:rPr>
              <w:t>12</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204" w:history="1">
            <w:r w:rsidR="006F3EED" w:rsidRPr="00DE3690">
              <w:rPr>
                <w:rStyle w:val="Hyperlink"/>
                <w:noProof/>
                <w:color w:val="auto"/>
              </w:rPr>
              <w:t>Investimentos com características de iliquidez</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_Toc525634204 \h </w:instrText>
            </w:r>
            <w:r w:rsidR="00E15FA7" w:rsidRPr="00DE3690">
              <w:rPr>
                <w:noProof/>
                <w:webHidden/>
              </w:rPr>
            </w:r>
            <w:r w:rsidR="00E15FA7" w:rsidRPr="00DE3690">
              <w:rPr>
                <w:noProof/>
                <w:webHidden/>
              </w:rPr>
              <w:fldChar w:fldCharType="separate"/>
            </w:r>
            <w:r w:rsidR="008B7DEA">
              <w:rPr>
                <w:noProof/>
                <w:webHidden/>
              </w:rPr>
              <w:t>13</w:t>
            </w:r>
            <w:r w:rsidR="00E15FA7" w:rsidRPr="00DE3690">
              <w:rPr>
                <w:noProof/>
                <w:webHidden/>
              </w:rPr>
              <w:fldChar w:fldCharType="end"/>
            </w:r>
          </w:hyperlink>
        </w:p>
        <w:p w:rsidR="006F3EED" w:rsidRPr="00DE3690" w:rsidRDefault="007E52D5">
          <w:pPr>
            <w:pStyle w:val="Sumrio2"/>
            <w:rPr>
              <w:rFonts w:eastAsiaTheme="minorEastAsia"/>
              <w:noProof/>
              <w:lang w:eastAsia="pt-BR"/>
            </w:rPr>
          </w:pPr>
          <w:hyperlink w:anchor="_Toc525634205" w:history="1">
            <w:r w:rsidR="006F3EED" w:rsidRPr="00DE3690">
              <w:rPr>
                <w:rStyle w:val="Hyperlink"/>
                <w:noProof/>
                <w:color w:val="auto"/>
              </w:rPr>
              <w:t>Concentração de alocação em instituições e fundos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_Toc525634205 \h </w:instrText>
            </w:r>
            <w:r w:rsidR="00E15FA7" w:rsidRPr="00DE3690">
              <w:rPr>
                <w:noProof/>
                <w:webHidden/>
              </w:rPr>
            </w:r>
            <w:r w:rsidR="00E15FA7" w:rsidRPr="00DE3690">
              <w:rPr>
                <w:noProof/>
                <w:webHidden/>
              </w:rPr>
              <w:fldChar w:fldCharType="separate"/>
            </w:r>
            <w:r w:rsidR="008B7DEA">
              <w:rPr>
                <w:noProof/>
                <w:webHidden/>
              </w:rPr>
              <w:t>14</w:t>
            </w:r>
            <w:r w:rsidR="00E15FA7"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206" w:history="1">
            <w:r w:rsidR="006F3EED" w:rsidRPr="00DE3690">
              <w:rPr>
                <w:rStyle w:val="Hyperlink"/>
                <w:caps/>
                <w:noProof/>
                <w:color w:val="auto"/>
              </w:rPr>
              <w:t>VI – ACOMPANHAMENTO DOS INVESTIMENTOS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_Toc525634206 \h </w:instrText>
            </w:r>
            <w:r w:rsidR="00E15FA7" w:rsidRPr="00DE3690">
              <w:rPr>
                <w:noProof/>
                <w:webHidden/>
              </w:rPr>
            </w:r>
            <w:r w:rsidR="00E15FA7" w:rsidRPr="00DE3690">
              <w:rPr>
                <w:noProof/>
                <w:webHidden/>
              </w:rPr>
              <w:fldChar w:fldCharType="separate"/>
            </w:r>
            <w:r w:rsidR="008B7DEA">
              <w:rPr>
                <w:noProof/>
                <w:webHidden/>
              </w:rPr>
              <w:t>14</w:t>
            </w:r>
            <w:r w:rsidR="00E15FA7" w:rsidRPr="00DE3690">
              <w:rPr>
                <w:noProof/>
                <w:webHidden/>
              </w:rPr>
              <w:fldChar w:fldCharType="end"/>
            </w:r>
          </w:hyperlink>
        </w:p>
        <w:p w:rsidR="006F3EED" w:rsidRPr="00DE3690" w:rsidRDefault="007E52D5">
          <w:pPr>
            <w:pStyle w:val="Sumrio1"/>
            <w:rPr>
              <w:rFonts w:eastAsiaTheme="minorEastAsia"/>
              <w:noProof/>
              <w:lang w:eastAsia="pt-BR"/>
            </w:rPr>
          </w:pPr>
          <w:hyperlink w:anchor="_Toc525634207" w:history="1">
            <w:r w:rsidR="006F3EED" w:rsidRPr="00DE3690">
              <w:rPr>
                <w:rStyle w:val="Hyperlink"/>
                <w:caps/>
                <w:noProof/>
                <w:color w:val="auto"/>
              </w:rPr>
              <w:t>VII - VEDAÇÕES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_Toc525634207 \h </w:instrText>
            </w:r>
            <w:r w:rsidR="00E15FA7" w:rsidRPr="00DE3690">
              <w:rPr>
                <w:noProof/>
                <w:webHidden/>
              </w:rPr>
            </w:r>
            <w:r w:rsidR="00E15FA7" w:rsidRPr="00DE3690">
              <w:rPr>
                <w:noProof/>
                <w:webHidden/>
              </w:rPr>
              <w:fldChar w:fldCharType="separate"/>
            </w:r>
            <w:r w:rsidR="008B7DEA">
              <w:rPr>
                <w:noProof/>
                <w:webHidden/>
              </w:rPr>
              <w:t>16</w:t>
            </w:r>
            <w:r w:rsidR="00E15FA7" w:rsidRPr="00DE3690">
              <w:rPr>
                <w:noProof/>
                <w:webHidden/>
              </w:rPr>
              <w:fldChar w:fldCharType="end"/>
            </w:r>
          </w:hyperlink>
        </w:p>
        <w:p w:rsidR="006F3EED" w:rsidRPr="00DE3690" w:rsidRDefault="007E52D5">
          <w:pPr>
            <w:pStyle w:val="Sumrio1"/>
            <w:rPr>
              <w:rFonts w:eastAsiaTheme="minorEastAsia"/>
              <w:noProof/>
              <w:sz w:val="24"/>
              <w:szCs w:val="24"/>
              <w:lang w:eastAsia="pt-BR"/>
            </w:rPr>
          </w:pPr>
          <w:hyperlink w:anchor="_Toc525634208" w:history="1">
            <w:r w:rsidR="006F3EED" w:rsidRPr="00DE3690">
              <w:rPr>
                <w:rStyle w:val="Hyperlink"/>
                <w:caps/>
                <w:noProof/>
                <w:color w:val="auto"/>
              </w:rPr>
              <w:t>VIII - DISPOSIÇÕES GERAIS</w:t>
            </w:r>
            <w:r w:rsidR="006F3EED" w:rsidRPr="00DE3690">
              <w:rPr>
                <w:noProof/>
                <w:webHidden/>
              </w:rPr>
              <w:tab/>
            </w:r>
            <w:r w:rsidR="00E15FA7" w:rsidRPr="00DE3690">
              <w:rPr>
                <w:noProof/>
                <w:webHidden/>
              </w:rPr>
              <w:fldChar w:fldCharType="begin"/>
            </w:r>
            <w:r w:rsidR="006F3EED" w:rsidRPr="00DE3690">
              <w:rPr>
                <w:noProof/>
                <w:webHidden/>
              </w:rPr>
              <w:instrText xml:space="preserve"> PAGEREF _Toc525634208 \h </w:instrText>
            </w:r>
            <w:r w:rsidR="00E15FA7" w:rsidRPr="00DE3690">
              <w:rPr>
                <w:noProof/>
                <w:webHidden/>
              </w:rPr>
            </w:r>
            <w:r w:rsidR="00E15FA7" w:rsidRPr="00DE3690">
              <w:rPr>
                <w:noProof/>
                <w:webHidden/>
              </w:rPr>
              <w:fldChar w:fldCharType="separate"/>
            </w:r>
            <w:r w:rsidR="008B7DEA">
              <w:rPr>
                <w:noProof/>
                <w:webHidden/>
              </w:rPr>
              <w:t>16</w:t>
            </w:r>
            <w:r w:rsidR="00E15FA7" w:rsidRPr="00DE3690">
              <w:rPr>
                <w:noProof/>
                <w:webHidden/>
              </w:rPr>
              <w:fldChar w:fldCharType="end"/>
            </w:r>
          </w:hyperlink>
        </w:p>
        <w:p w:rsidR="00D57A99" w:rsidRPr="00DE3690" w:rsidRDefault="00E15FA7">
          <w:pPr>
            <w:rPr>
              <w:sz w:val="24"/>
              <w:szCs w:val="24"/>
            </w:rPr>
          </w:pPr>
          <w:r w:rsidRPr="00DE3690">
            <w:rPr>
              <w:b/>
              <w:bCs/>
              <w:sz w:val="24"/>
              <w:szCs w:val="24"/>
            </w:rPr>
            <w:fldChar w:fldCharType="end"/>
          </w:r>
        </w:p>
      </w:sdtContent>
    </w:sdt>
    <w:p w:rsidR="002D76E8" w:rsidRDefault="002D76E8" w:rsidP="00C30459">
      <w:pPr>
        <w:pStyle w:val="Ttulo1"/>
        <w:spacing w:before="0" w:after="0"/>
        <w:rPr>
          <w:rFonts w:asciiTheme="minorHAnsi" w:eastAsiaTheme="minorHAnsi" w:hAnsiTheme="minorHAnsi"/>
          <w:bCs w:val="0"/>
          <w:caps/>
          <w:kern w:val="0"/>
          <w:sz w:val="24"/>
          <w:szCs w:val="24"/>
          <w:lang w:val="pt-BR"/>
        </w:rPr>
      </w:pPr>
      <w:bookmarkStart w:id="0" w:name="_Toc525634166"/>
    </w:p>
    <w:p w:rsidR="002D76E8" w:rsidRDefault="002D76E8" w:rsidP="00C30459">
      <w:pPr>
        <w:pStyle w:val="Ttulo1"/>
        <w:spacing w:before="0" w:after="0"/>
        <w:rPr>
          <w:rFonts w:asciiTheme="minorHAnsi" w:eastAsiaTheme="minorHAnsi" w:hAnsiTheme="minorHAnsi"/>
          <w:bCs w:val="0"/>
          <w:caps/>
          <w:kern w:val="0"/>
          <w:sz w:val="24"/>
          <w:szCs w:val="24"/>
          <w:lang w:val="pt-BR"/>
        </w:rPr>
      </w:pPr>
    </w:p>
    <w:p w:rsidR="002D76E8" w:rsidRDefault="002D76E8" w:rsidP="00C30459">
      <w:pPr>
        <w:pStyle w:val="Ttulo1"/>
        <w:spacing w:before="0" w:after="0"/>
        <w:rPr>
          <w:rFonts w:asciiTheme="minorHAnsi" w:eastAsiaTheme="minorHAnsi" w:hAnsiTheme="minorHAnsi"/>
          <w:bCs w:val="0"/>
          <w:caps/>
          <w:kern w:val="0"/>
          <w:sz w:val="24"/>
          <w:szCs w:val="24"/>
          <w:lang w:val="pt-BR"/>
        </w:rPr>
      </w:pPr>
    </w:p>
    <w:p w:rsidR="002D76E8" w:rsidRDefault="002D76E8" w:rsidP="00C30459">
      <w:pPr>
        <w:pStyle w:val="Ttulo1"/>
        <w:spacing w:before="0" w:after="0"/>
        <w:rPr>
          <w:rFonts w:asciiTheme="minorHAnsi" w:eastAsiaTheme="minorHAnsi" w:hAnsiTheme="minorHAnsi"/>
          <w:bCs w:val="0"/>
          <w:caps/>
          <w:kern w:val="0"/>
          <w:sz w:val="24"/>
          <w:szCs w:val="24"/>
          <w:lang w:val="pt-BR"/>
        </w:rPr>
      </w:pPr>
    </w:p>
    <w:p w:rsidR="002D76E8" w:rsidRDefault="002D76E8" w:rsidP="00C30459">
      <w:pPr>
        <w:pStyle w:val="Ttulo1"/>
        <w:spacing w:before="0" w:after="0"/>
        <w:rPr>
          <w:rFonts w:asciiTheme="minorHAnsi" w:eastAsiaTheme="minorHAnsi" w:hAnsiTheme="minorHAnsi"/>
          <w:bCs w:val="0"/>
          <w:caps/>
          <w:kern w:val="0"/>
          <w:sz w:val="24"/>
          <w:szCs w:val="24"/>
          <w:lang w:val="pt-BR"/>
        </w:rPr>
      </w:pPr>
    </w:p>
    <w:p w:rsidR="002D76E8" w:rsidRDefault="002D76E8" w:rsidP="00C30459">
      <w:pPr>
        <w:pStyle w:val="Ttulo1"/>
        <w:spacing w:before="0" w:after="0"/>
        <w:rPr>
          <w:rFonts w:asciiTheme="minorHAnsi" w:eastAsiaTheme="minorHAnsi" w:hAnsiTheme="minorHAnsi"/>
          <w:bCs w:val="0"/>
          <w:caps/>
          <w:kern w:val="0"/>
          <w:sz w:val="24"/>
          <w:szCs w:val="24"/>
          <w:lang w:val="pt-BR"/>
        </w:rPr>
      </w:pPr>
    </w:p>
    <w:p w:rsidR="003A5F75" w:rsidRPr="00DE3690" w:rsidRDefault="003A5F75" w:rsidP="00C30459">
      <w:pPr>
        <w:pStyle w:val="Ttulo1"/>
        <w:spacing w:before="0" w:after="0"/>
        <w:rPr>
          <w:rFonts w:asciiTheme="minorHAnsi" w:eastAsiaTheme="minorHAnsi" w:hAnsiTheme="minorHAnsi"/>
          <w:bCs w:val="0"/>
          <w:caps/>
          <w:kern w:val="0"/>
          <w:sz w:val="24"/>
          <w:szCs w:val="24"/>
          <w:lang w:val="pt-BR"/>
        </w:rPr>
      </w:pPr>
      <w:r w:rsidRPr="00DE3690">
        <w:rPr>
          <w:rFonts w:asciiTheme="minorHAnsi" w:eastAsiaTheme="minorHAnsi" w:hAnsiTheme="minorHAnsi"/>
          <w:bCs w:val="0"/>
          <w:caps/>
          <w:kern w:val="0"/>
          <w:sz w:val="24"/>
          <w:szCs w:val="24"/>
          <w:lang w:val="pt-BR"/>
        </w:rPr>
        <w:t>I - INTRODUÇÃO</w:t>
      </w:r>
      <w:bookmarkEnd w:id="0"/>
    </w:p>
    <w:p w:rsidR="001F144A" w:rsidRPr="00DE3690" w:rsidRDefault="001F144A" w:rsidP="00C30459">
      <w:pPr>
        <w:pStyle w:val="Default"/>
        <w:jc w:val="both"/>
        <w:rPr>
          <w:rFonts w:asciiTheme="minorHAnsi" w:hAnsiTheme="minorHAnsi"/>
          <w:color w:val="auto"/>
        </w:rPr>
      </w:pPr>
      <w:r w:rsidRPr="00DE3690">
        <w:rPr>
          <w:rFonts w:asciiTheme="minorHAnsi" w:hAnsiTheme="minorHAnsi"/>
          <w:color w:val="auto"/>
        </w:rPr>
        <w:t>Esta política tem por objetivo balizar os investimentos do</w:t>
      </w:r>
      <w:r w:rsidR="00C30459" w:rsidRPr="00DE3690">
        <w:rPr>
          <w:rFonts w:asciiTheme="minorHAnsi" w:hAnsiTheme="minorHAnsi"/>
          <w:color w:val="auto"/>
        </w:rPr>
        <w:t xml:space="preserve"> </w:t>
      </w:r>
      <w:r w:rsidR="00646827" w:rsidRPr="00DE3690">
        <w:rPr>
          <w:rFonts w:asciiTheme="minorHAnsi" w:hAnsiTheme="minorHAnsi"/>
          <w:color w:val="auto"/>
        </w:rPr>
        <w:t>IPESMUC</w:t>
      </w:r>
      <w:r w:rsidRPr="00DE3690">
        <w:rPr>
          <w:rFonts w:asciiTheme="minorHAnsi" w:hAnsiTheme="minorHAnsi"/>
          <w:color w:val="auto"/>
        </w:rPr>
        <w:t xml:space="preserve">, sendo este o seu principal documento norteador em termos de alocação para o ano de </w:t>
      </w:r>
      <w:r w:rsidR="00001D53" w:rsidRPr="00DE3690">
        <w:rPr>
          <w:rFonts w:asciiTheme="minorHAnsi" w:hAnsiTheme="minorHAnsi"/>
          <w:color w:val="auto"/>
        </w:rPr>
        <w:t>2019</w:t>
      </w:r>
      <w:r w:rsidRPr="00DE3690">
        <w:rPr>
          <w:rFonts w:asciiTheme="minorHAnsi" w:hAnsiTheme="minorHAnsi"/>
          <w:color w:val="auto"/>
        </w:rPr>
        <w:t>.</w:t>
      </w:r>
      <w:r w:rsidR="00D00F98" w:rsidRPr="00DE3690">
        <w:rPr>
          <w:rFonts w:asciiTheme="minorHAnsi" w:hAnsiTheme="minorHAnsi"/>
          <w:color w:val="auto"/>
        </w:rPr>
        <w:t xml:space="preserve"> Este documento dispõe sobre todas as classes, tipos, limitadores legais, análises e processo decisório na alocação de todos os investimentos</w:t>
      </w:r>
      <w:r w:rsidRPr="00DE3690">
        <w:rPr>
          <w:rFonts w:asciiTheme="minorHAnsi" w:hAnsiTheme="minorHAnsi"/>
          <w:color w:val="auto"/>
        </w:rPr>
        <w:t xml:space="preserve"> A análise dos investimentos e do </w:t>
      </w:r>
      <w:r w:rsidR="00732AC7" w:rsidRPr="00DE3690">
        <w:rPr>
          <w:rFonts w:asciiTheme="minorHAnsi" w:hAnsiTheme="minorHAnsi"/>
          <w:color w:val="auto"/>
        </w:rPr>
        <w:t>cenário econômico</w:t>
      </w:r>
      <w:r w:rsidRPr="00DE3690">
        <w:rPr>
          <w:rFonts w:asciiTheme="minorHAnsi" w:hAnsiTheme="minorHAnsi"/>
          <w:color w:val="auto"/>
        </w:rPr>
        <w:t xml:space="preserve"> é fundamental para a gestão profissionalizada da carteira de investimentos.</w:t>
      </w:r>
    </w:p>
    <w:p w:rsidR="004A637F" w:rsidRPr="00DE3690" w:rsidRDefault="004A637F" w:rsidP="003A5F75">
      <w:pPr>
        <w:pStyle w:val="Default"/>
        <w:jc w:val="both"/>
        <w:rPr>
          <w:rFonts w:asciiTheme="minorHAnsi" w:hAnsiTheme="minorHAnsi"/>
          <w:color w:val="auto"/>
        </w:rPr>
      </w:pPr>
    </w:p>
    <w:p w:rsidR="003A5F75" w:rsidRPr="00DE3690" w:rsidRDefault="003A5F75" w:rsidP="003A5F75">
      <w:pPr>
        <w:pStyle w:val="Default"/>
        <w:jc w:val="both"/>
        <w:rPr>
          <w:rFonts w:asciiTheme="minorHAnsi" w:hAnsiTheme="minorHAnsi"/>
          <w:bCs/>
          <w:color w:val="auto"/>
        </w:rPr>
      </w:pPr>
      <w:r w:rsidRPr="00DE3690">
        <w:rPr>
          <w:rFonts w:asciiTheme="minorHAnsi" w:hAnsiTheme="minorHAnsi"/>
          <w:color w:val="auto"/>
        </w:rPr>
        <w:t>Objetivando cumprir a legislação pertinente aos investimentos dos Regimes Próprios de Previdência Social – R</w:t>
      </w:r>
      <w:r w:rsidR="00617C02" w:rsidRPr="00DE3690">
        <w:rPr>
          <w:rFonts w:asciiTheme="minorHAnsi" w:hAnsiTheme="minorHAnsi"/>
          <w:color w:val="auto"/>
        </w:rPr>
        <w:t>PPS, com foco</w:t>
      </w:r>
      <w:r w:rsidR="00674E3A" w:rsidRPr="00DE3690">
        <w:rPr>
          <w:rFonts w:asciiTheme="minorHAnsi" w:hAnsiTheme="minorHAnsi"/>
          <w:color w:val="auto"/>
        </w:rPr>
        <w:t xml:space="preserve"> na Resolução CMN nº 3.922/10, </w:t>
      </w:r>
      <w:r w:rsidR="00617C02" w:rsidRPr="00DE3690">
        <w:rPr>
          <w:rFonts w:asciiTheme="minorHAnsi" w:hAnsiTheme="minorHAnsi"/>
          <w:color w:val="auto"/>
        </w:rPr>
        <w:t>nº 4.392/14</w:t>
      </w:r>
      <w:r w:rsidR="00674E3A" w:rsidRPr="00DE3690">
        <w:rPr>
          <w:rFonts w:asciiTheme="minorHAnsi" w:hAnsiTheme="minorHAnsi"/>
          <w:color w:val="auto"/>
        </w:rPr>
        <w:t xml:space="preserve"> e a nº4.604/17</w:t>
      </w:r>
      <w:r w:rsidRPr="00DE3690">
        <w:rPr>
          <w:rFonts w:asciiTheme="minorHAnsi" w:hAnsiTheme="minorHAnsi"/>
          <w:color w:val="auto"/>
        </w:rPr>
        <w:t xml:space="preserve">, o </w:t>
      </w:r>
      <w:r w:rsidR="00646827" w:rsidRPr="00DE3690">
        <w:rPr>
          <w:rFonts w:asciiTheme="minorHAnsi" w:hAnsiTheme="minorHAnsi"/>
          <w:b/>
          <w:bCs/>
          <w:color w:val="auto"/>
        </w:rPr>
        <w:t>IPESMUC</w:t>
      </w:r>
      <w:r w:rsidRPr="00DE3690">
        <w:rPr>
          <w:rFonts w:asciiTheme="minorHAnsi" w:hAnsiTheme="minorHAnsi"/>
          <w:color w:val="auto"/>
        </w:rPr>
        <w:t xml:space="preserve">, apresenta versão final de sua Política de Investimentos para o ano de </w:t>
      </w:r>
      <w:r w:rsidR="00001D53" w:rsidRPr="00DE3690">
        <w:rPr>
          <w:rFonts w:asciiTheme="minorHAnsi" w:hAnsiTheme="minorHAnsi"/>
          <w:color w:val="auto"/>
        </w:rPr>
        <w:t>2019</w:t>
      </w:r>
      <w:r w:rsidRPr="00DE3690">
        <w:rPr>
          <w:rFonts w:asciiTheme="minorHAnsi" w:hAnsiTheme="minorHAnsi"/>
          <w:color w:val="auto"/>
        </w:rPr>
        <w:t xml:space="preserve">, devidamente aprovada pelo </w:t>
      </w:r>
      <w:r w:rsidR="003A4927" w:rsidRPr="00DE3690">
        <w:rPr>
          <w:rFonts w:asciiTheme="minorHAnsi" w:hAnsiTheme="minorHAnsi"/>
          <w:b/>
          <w:color w:val="auto"/>
        </w:rPr>
        <w:t xml:space="preserve">Conselho </w:t>
      </w:r>
      <w:r w:rsidR="007E52D5">
        <w:rPr>
          <w:rFonts w:asciiTheme="minorHAnsi" w:hAnsiTheme="minorHAnsi"/>
          <w:b/>
          <w:color w:val="auto"/>
        </w:rPr>
        <w:t>Administrativo, Conselho Fiscal</w:t>
      </w:r>
      <w:r w:rsidR="003A4927" w:rsidRPr="00DE3690">
        <w:rPr>
          <w:rFonts w:asciiTheme="minorHAnsi" w:hAnsiTheme="minorHAnsi"/>
          <w:color w:val="auto"/>
        </w:rPr>
        <w:t xml:space="preserve"> e pelo </w:t>
      </w:r>
      <w:r w:rsidRPr="00DE3690">
        <w:rPr>
          <w:rFonts w:asciiTheme="minorHAnsi" w:hAnsiTheme="minorHAnsi"/>
          <w:b/>
          <w:bCs/>
          <w:color w:val="auto"/>
        </w:rPr>
        <w:t>Co</w:t>
      </w:r>
      <w:r w:rsidR="00CF4506" w:rsidRPr="00DE3690">
        <w:rPr>
          <w:rFonts w:asciiTheme="minorHAnsi" w:hAnsiTheme="minorHAnsi"/>
          <w:b/>
          <w:bCs/>
          <w:color w:val="auto"/>
        </w:rPr>
        <w:t>mitê de Investimentos</w:t>
      </w:r>
      <w:r w:rsidR="00C30459" w:rsidRPr="00DE3690">
        <w:rPr>
          <w:rFonts w:asciiTheme="minorHAnsi" w:hAnsiTheme="minorHAnsi"/>
          <w:b/>
          <w:bCs/>
          <w:color w:val="auto"/>
        </w:rPr>
        <w:t xml:space="preserve"> </w:t>
      </w:r>
      <w:r w:rsidR="00674E3A" w:rsidRPr="00DE3690">
        <w:rPr>
          <w:rFonts w:asciiTheme="minorHAnsi" w:hAnsiTheme="minorHAnsi"/>
          <w:b/>
          <w:color w:val="auto"/>
        </w:rPr>
        <w:t xml:space="preserve">em </w:t>
      </w:r>
      <w:r w:rsidR="00001D53" w:rsidRPr="00DE3690">
        <w:rPr>
          <w:rFonts w:asciiTheme="minorHAnsi" w:hAnsiTheme="minorHAnsi"/>
          <w:b/>
          <w:color w:val="auto"/>
        </w:rPr>
        <w:t>22 de outubro de 2018</w:t>
      </w:r>
      <w:r w:rsidRPr="00DE3690">
        <w:rPr>
          <w:rFonts w:asciiTheme="minorHAnsi" w:hAnsiTheme="minorHAnsi"/>
          <w:bCs/>
          <w:color w:val="auto"/>
        </w:rPr>
        <w:t>, devendo ser executa</w:t>
      </w:r>
      <w:r w:rsidR="00A168D0" w:rsidRPr="00DE3690">
        <w:rPr>
          <w:rFonts w:asciiTheme="minorHAnsi" w:hAnsiTheme="minorHAnsi"/>
          <w:bCs/>
          <w:color w:val="auto"/>
        </w:rPr>
        <w:t>d</w:t>
      </w:r>
      <w:r w:rsidRPr="00DE3690">
        <w:rPr>
          <w:rFonts w:asciiTheme="minorHAnsi" w:hAnsiTheme="minorHAnsi"/>
          <w:bCs/>
          <w:color w:val="auto"/>
        </w:rPr>
        <w:t xml:space="preserve">a </w:t>
      </w:r>
      <w:r w:rsidR="00A168D0" w:rsidRPr="00DE3690">
        <w:rPr>
          <w:rFonts w:asciiTheme="minorHAnsi" w:hAnsiTheme="minorHAnsi"/>
          <w:bCs/>
          <w:color w:val="auto"/>
        </w:rPr>
        <w:t>p</w:t>
      </w:r>
      <w:r w:rsidR="00923C39" w:rsidRPr="00DE3690">
        <w:rPr>
          <w:rFonts w:asciiTheme="minorHAnsi" w:hAnsiTheme="minorHAnsi"/>
          <w:bCs/>
          <w:color w:val="auto"/>
        </w:rPr>
        <w:t>ela unidade gestora e</w:t>
      </w:r>
      <w:r w:rsidR="00C30459" w:rsidRPr="00DE3690">
        <w:rPr>
          <w:rFonts w:asciiTheme="minorHAnsi" w:hAnsiTheme="minorHAnsi"/>
          <w:bCs/>
          <w:color w:val="auto"/>
        </w:rPr>
        <w:t xml:space="preserve"> </w:t>
      </w:r>
      <w:r w:rsidR="00923C39" w:rsidRPr="00DE3690">
        <w:rPr>
          <w:rFonts w:asciiTheme="minorHAnsi" w:hAnsiTheme="minorHAnsi"/>
          <w:bCs/>
          <w:color w:val="auto"/>
        </w:rPr>
        <w:t xml:space="preserve">pelo referido </w:t>
      </w:r>
      <w:r w:rsidR="00A168D0" w:rsidRPr="00DE3690">
        <w:rPr>
          <w:rFonts w:asciiTheme="minorHAnsi" w:hAnsiTheme="minorHAnsi"/>
          <w:bCs/>
          <w:color w:val="auto"/>
        </w:rPr>
        <w:t xml:space="preserve">comitê ao longo do </w:t>
      </w:r>
      <w:r w:rsidR="00655E75" w:rsidRPr="00DE3690">
        <w:rPr>
          <w:rFonts w:asciiTheme="minorHAnsi" w:hAnsiTheme="minorHAnsi"/>
          <w:bCs/>
          <w:color w:val="auto"/>
        </w:rPr>
        <w:t>período de referência</w:t>
      </w:r>
      <w:r w:rsidRPr="00DE3690">
        <w:rPr>
          <w:rFonts w:asciiTheme="minorHAnsi" w:hAnsiTheme="minorHAnsi"/>
          <w:bCs/>
          <w:color w:val="auto"/>
        </w:rPr>
        <w:t>, cujas decisões serão registradas em ata.</w:t>
      </w:r>
    </w:p>
    <w:p w:rsidR="003A5F75" w:rsidRPr="00DE3690" w:rsidRDefault="003A5F75" w:rsidP="003A5F75">
      <w:pPr>
        <w:pStyle w:val="Default"/>
        <w:jc w:val="both"/>
        <w:rPr>
          <w:rFonts w:asciiTheme="minorHAnsi" w:hAnsiTheme="minorHAnsi"/>
          <w:bCs/>
          <w:color w:val="auto"/>
        </w:rPr>
      </w:pPr>
    </w:p>
    <w:p w:rsidR="003A5F75" w:rsidRPr="00DE3690" w:rsidRDefault="003A5F75" w:rsidP="003A5F75">
      <w:pPr>
        <w:pStyle w:val="Default"/>
        <w:jc w:val="both"/>
        <w:rPr>
          <w:rFonts w:asciiTheme="minorHAnsi" w:hAnsiTheme="minorHAnsi"/>
          <w:color w:val="auto"/>
        </w:rPr>
      </w:pPr>
      <w:r w:rsidRPr="00DE3690">
        <w:rPr>
          <w:rFonts w:asciiTheme="minorHAnsi" w:hAnsiTheme="minorHAnsi"/>
          <w:bCs/>
          <w:color w:val="auto"/>
        </w:rPr>
        <w:t>A</w:t>
      </w:r>
      <w:r w:rsidRPr="00DE3690">
        <w:rPr>
          <w:rFonts w:asciiTheme="minorHAnsi" w:hAnsiTheme="minorHAnsi"/>
          <w:color w:val="auto"/>
        </w:rPr>
        <w:t xml:space="preserve"> Política de Investimentos dispõe sobre a aplicação dos recursos do </w:t>
      </w:r>
      <w:r w:rsidR="00646827" w:rsidRPr="00DE3690">
        <w:rPr>
          <w:rFonts w:asciiTheme="minorHAnsi" w:hAnsiTheme="minorHAnsi"/>
          <w:b/>
          <w:bCs/>
          <w:color w:val="auto"/>
        </w:rPr>
        <w:t>IPESMUC</w:t>
      </w:r>
      <w:r w:rsidRPr="00DE3690">
        <w:rPr>
          <w:rFonts w:asciiTheme="minorHAnsi" w:hAnsiTheme="minorHAnsi"/>
          <w:b/>
          <w:bCs/>
          <w:color w:val="auto"/>
        </w:rPr>
        <w:t>,</w:t>
      </w:r>
      <w:r w:rsidRPr="00DE3690">
        <w:rPr>
          <w:rFonts w:asciiTheme="minorHAnsi" w:hAnsiTheme="minorHAnsi"/>
          <w:color w:val="auto"/>
        </w:rPr>
        <w:t xml:space="preserve"> disponível no site do regime próprio </w:t>
      </w:r>
      <w:r w:rsidR="00C70E0E" w:rsidRPr="00DE3690">
        <w:rPr>
          <w:rFonts w:asciiTheme="minorHAnsi" w:hAnsiTheme="minorHAnsi"/>
          <w:color w:val="auto"/>
        </w:rPr>
        <w:t>e</w:t>
      </w:r>
      <w:r w:rsidRPr="00DE3690">
        <w:rPr>
          <w:rFonts w:asciiTheme="minorHAnsi" w:hAnsiTheme="minorHAnsi"/>
          <w:color w:val="auto"/>
        </w:rPr>
        <w:t xml:space="preserve"> enviado à Secretaria de Políticas de Previdência Social - SPPS através do Demonstrativo da Política de Investimentos – DPIN. Foram inseridas as normas e diretrizes referentes à gestão dos recursos financeiros do </w:t>
      </w:r>
      <w:r w:rsidR="005227EE" w:rsidRPr="00DE3690">
        <w:rPr>
          <w:rFonts w:asciiTheme="minorHAnsi" w:hAnsiTheme="minorHAnsi"/>
          <w:color w:val="auto"/>
        </w:rPr>
        <w:t>RPPS</w:t>
      </w:r>
      <w:r w:rsidRPr="00DE3690">
        <w:rPr>
          <w:rFonts w:asciiTheme="minorHAnsi" w:hAnsiTheme="minorHAnsi"/>
          <w:color w:val="auto"/>
        </w:rPr>
        <w:t xml:space="preserve"> com foco na resolução </w:t>
      </w:r>
      <w:r w:rsidR="00617C02" w:rsidRPr="00DE3690">
        <w:rPr>
          <w:rFonts w:asciiTheme="minorHAnsi" w:hAnsiTheme="minorHAnsi"/>
          <w:color w:val="auto"/>
        </w:rPr>
        <w:t xml:space="preserve">CMN </w:t>
      </w:r>
      <w:r w:rsidR="00F371DE" w:rsidRPr="00DE3690">
        <w:rPr>
          <w:rFonts w:asciiTheme="minorHAnsi" w:hAnsiTheme="minorHAnsi"/>
          <w:color w:val="auto"/>
        </w:rPr>
        <w:t>n</w:t>
      </w:r>
      <w:r w:rsidR="00674E3A" w:rsidRPr="00DE3690">
        <w:rPr>
          <w:rFonts w:asciiTheme="minorHAnsi" w:hAnsiTheme="minorHAnsi"/>
          <w:color w:val="auto"/>
        </w:rPr>
        <w:t xml:space="preserve">º 3.922/10, </w:t>
      </w:r>
      <w:r w:rsidR="00F371DE" w:rsidRPr="00DE3690">
        <w:rPr>
          <w:rFonts w:asciiTheme="minorHAnsi" w:hAnsiTheme="minorHAnsi"/>
          <w:color w:val="auto"/>
        </w:rPr>
        <w:t>n</w:t>
      </w:r>
      <w:r w:rsidR="00617C02" w:rsidRPr="00DE3690">
        <w:rPr>
          <w:rFonts w:asciiTheme="minorHAnsi" w:hAnsiTheme="minorHAnsi"/>
          <w:color w:val="auto"/>
        </w:rPr>
        <w:t>º 4.392/14</w:t>
      </w:r>
      <w:r w:rsidR="00674E3A" w:rsidRPr="00DE3690">
        <w:rPr>
          <w:rFonts w:asciiTheme="minorHAnsi" w:hAnsiTheme="minorHAnsi"/>
          <w:color w:val="auto"/>
        </w:rPr>
        <w:t xml:space="preserve"> e nº4.604/17,</w:t>
      </w:r>
      <w:r w:rsidRPr="00DE3690">
        <w:rPr>
          <w:rFonts w:asciiTheme="minorHAnsi" w:hAnsiTheme="minorHAnsi"/>
          <w:color w:val="auto"/>
        </w:rPr>
        <w:t xml:space="preserve"> e nas </w:t>
      </w:r>
      <w:r w:rsidR="00BF097D" w:rsidRPr="00DE3690">
        <w:rPr>
          <w:rFonts w:asciiTheme="minorHAnsi" w:hAnsiTheme="minorHAnsi"/>
          <w:color w:val="auto"/>
        </w:rPr>
        <w:t>Portarias MPS</w:t>
      </w:r>
      <w:r w:rsidR="00FB5AA7" w:rsidRPr="00DE3690">
        <w:rPr>
          <w:rFonts w:asciiTheme="minorHAnsi" w:hAnsiTheme="minorHAnsi"/>
          <w:color w:val="auto"/>
        </w:rPr>
        <w:t>/MF</w:t>
      </w:r>
      <w:r w:rsidR="00C30459" w:rsidRPr="00DE3690">
        <w:rPr>
          <w:rFonts w:asciiTheme="minorHAnsi" w:hAnsiTheme="minorHAnsi"/>
          <w:color w:val="auto"/>
        </w:rPr>
        <w:t xml:space="preserve"> </w:t>
      </w:r>
      <w:r w:rsidR="00F371DE" w:rsidRPr="00DE3690">
        <w:rPr>
          <w:rFonts w:asciiTheme="minorHAnsi" w:hAnsiTheme="minorHAnsi"/>
          <w:color w:val="auto"/>
        </w:rPr>
        <w:t>n</w:t>
      </w:r>
      <w:r w:rsidR="00BF097D" w:rsidRPr="00DE3690">
        <w:rPr>
          <w:rFonts w:asciiTheme="minorHAnsi" w:hAnsiTheme="minorHAnsi"/>
          <w:color w:val="auto"/>
        </w:rPr>
        <w:t>º 519, de 24 de agosto de 2011</w:t>
      </w:r>
      <w:r w:rsidR="00F371DE" w:rsidRPr="00DE3690">
        <w:rPr>
          <w:rFonts w:asciiTheme="minorHAnsi" w:hAnsiTheme="minorHAnsi"/>
          <w:color w:val="auto"/>
        </w:rPr>
        <w:t>, e suas alterações subsequentes</w:t>
      </w:r>
      <w:r w:rsidR="00BF097D" w:rsidRPr="00DE3690">
        <w:rPr>
          <w:rFonts w:asciiTheme="minorHAnsi" w:hAnsiTheme="minorHAnsi"/>
          <w:color w:val="auto"/>
        </w:rPr>
        <w:t>.</w:t>
      </w:r>
    </w:p>
    <w:p w:rsidR="003A5F75" w:rsidRPr="00DE3690" w:rsidRDefault="003A5F75" w:rsidP="003A5F75">
      <w:pPr>
        <w:pStyle w:val="Default"/>
        <w:jc w:val="both"/>
        <w:rPr>
          <w:rFonts w:asciiTheme="minorHAnsi" w:hAnsiTheme="minorHAnsi"/>
          <w:color w:val="auto"/>
        </w:rPr>
      </w:pPr>
    </w:p>
    <w:p w:rsidR="003A5F75" w:rsidRPr="00DE3690" w:rsidRDefault="003A5F75" w:rsidP="00C30459">
      <w:pPr>
        <w:pStyle w:val="Ttulo1"/>
        <w:spacing w:before="0" w:after="0"/>
        <w:rPr>
          <w:rFonts w:asciiTheme="minorHAnsi" w:eastAsiaTheme="minorHAnsi" w:hAnsiTheme="minorHAnsi"/>
          <w:bCs w:val="0"/>
          <w:caps/>
          <w:kern w:val="0"/>
          <w:sz w:val="24"/>
          <w:szCs w:val="24"/>
          <w:lang w:val="pt-BR"/>
        </w:rPr>
      </w:pPr>
      <w:bookmarkStart w:id="1" w:name="_Toc525634167"/>
      <w:r w:rsidRPr="00DE3690">
        <w:rPr>
          <w:rFonts w:asciiTheme="minorHAnsi" w:eastAsiaTheme="minorHAnsi" w:hAnsiTheme="minorHAnsi"/>
          <w:bCs w:val="0"/>
          <w:caps/>
          <w:kern w:val="0"/>
          <w:sz w:val="24"/>
          <w:szCs w:val="24"/>
          <w:lang w:val="pt-BR"/>
        </w:rPr>
        <w:t xml:space="preserve">II </w:t>
      </w:r>
      <w:r w:rsidR="00EB585E" w:rsidRPr="00DE3690">
        <w:rPr>
          <w:rFonts w:asciiTheme="minorHAnsi" w:eastAsiaTheme="minorHAnsi" w:hAnsiTheme="minorHAnsi"/>
          <w:bCs w:val="0"/>
          <w:caps/>
          <w:kern w:val="0"/>
          <w:sz w:val="24"/>
          <w:szCs w:val="24"/>
          <w:lang w:val="pt-BR"/>
        </w:rPr>
        <w:t>–CONCEITOS E DEFINIÇÕES</w:t>
      </w:r>
      <w:bookmarkEnd w:id="1"/>
    </w:p>
    <w:p w:rsidR="003A5F75" w:rsidRPr="00DE3690" w:rsidRDefault="004A637F" w:rsidP="00C30459">
      <w:pPr>
        <w:pStyle w:val="Ttulo2"/>
        <w:spacing w:before="0"/>
        <w:jc w:val="both"/>
        <w:rPr>
          <w:rFonts w:asciiTheme="minorHAnsi" w:hAnsiTheme="minorHAnsi"/>
          <w:i w:val="0"/>
          <w:szCs w:val="24"/>
          <w:lang w:val="pt-BR"/>
        </w:rPr>
      </w:pPr>
      <w:bookmarkStart w:id="2" w:name="_Toc525634168"/>
      <w:r w:rsidRPr="00DE3690">
        <w:rPr>
          <w:rFonts w:asciiTheme="minorHAnsi" w:hAnsiTheme="minorHAnsi"/>
          <w:i w:val="0"/>
          <w:szCs w:val="24"/>
          <w:lang w:val="pt-BR"/>
        </w:rPr>
        <w:t>Modelo de gestão</w:t>
      </w:r>
      <w:bookmarkEnd w:id="2"/>
      <w:r w:rsidR="00C30459" w:rsidRPr="00DE3690">
        <w:rPr>
          <w:rFonts w:asciiTheme="minorHAnsi" w:hAnsiTheme="minorHAnsi"/>
          <w:i w:val="0"/>
          <w:szCs w:val="24"/>
          <w:lang w:val="pt-BR"/>
        </w:rPr>
        <w:t xml:space="preserve">: </w:t>
      </w:r>
      <w:r w:rsidR="003A5F75" w:rsidRPr="00DE3690">
        <w:rPr>
          <w:rFonts w:asciiTheme="minorHAnsi" w:hAnsiTheme="minorHAnsi"/>
          <w:b w:val="0"/>
          <w:i w:val="0"/>
          <w:szCs w:val="24"/>
          <w:lang w:val="pt-BR"/>
        </w:rPr>
        <w:t xml:space="preserve">Para que todas as decisões de investimentos e desinvestimentos sejam tomadas internamente sem interferência de agentes externos, o </w:t>
      </w:r>
      <w:r w:rsidR="00646827" w:rsidRPr="00DE3690">
        <w:rPr>
          <w:rFonts w:asciiTheme="minorHAnsi" w:hAnsiTheme="minorHAnsi"/>
          <w:b w:val="0"/>
          <w:i w:val="0"/>
          <w:szCs w:val="24"/>
          <w:lang w:val="pt-BR"/>
        </w:rPr>
        <w:t>IPESMUC</w:t>
      </w:r>
      <w:r w:rsidR="003A5F75" w:rsidRPr="00DE3690">
        <w:rPr>
          <w:rFonts w:asciiTheme="minorHAnsi" w:hAnsiTheme="minorHAnsi"/>
          <w:b w:val="0"/>
          <w:i w:val="0"/>
          <w:szCs w:val="24"/>
          <w:lang w:val="pt-BR"/>
        </w:rPr>
        <w:t xml:space="preserve"> adota o modelo de gestão própria em conformidade com o artigo nº 15, inciso I, da Resolução CMN 3.922/2010</w:t>
      </w:r>
      <w:r w:rsidR="00FB58DF" w:rsidRPr="00DE3690">
        <w:rPr>
          <w:rFonts w:asciiTheme="minorHAnsi" w:hAnsiTheme="minorHAnsi"/>
          <w:b w:val="0"/>
          <w:i w:val="0"/>
          <w:szCs w:val="24"/>
          <w:lang w:val="pt-BR"/>
        </w:rPr>
        <w:t xml:space="preserve">, </w:t>
      </w:r>
      <w:r w:rsidR="00BF097D" w:rsidRPr="00DE3690">
        <w:rPr>
          <w:rFonts w:asciiTheme="minorHAnsi" w:hAnsiTheme="minorHAnsi"/>
          <w:b w:val="0"/>
          <w:i w:val="0"/>
          <w:szCs w:val="24"/>
          <w:lang w:val="pt-BR"/>
        </w:rPr>
        <w:t>4.392/2014</w:t>
      </w:r>
      <w:r w:rsidR="00FB58DF" w:rsidRPr="00DE3690">
        <w:rPr>
          <w:rFonts w:asciiTheme="minorHAnsi" w:hAnsiTheme="minorHAnsi"/>
          <w:b w:val="0"/>
          <w:i w:val="0"/>
          <w:szCs w:val="24"/>
          <w:lang w:val="pt-BR"/>
        </w:rPr>
        <w:t xml:space="preserve"> e 4.604/2017</w:t>
      </w:r>
      <w:r w:rsidR="003A5F75" w:rsidRPr="00DE3690">
        <w:rPr>
          <w:rFonts w:asciiTheme="minorHAnsi" w:hAnsiTheme="minorHAnsi"/>
          <w:b w:val="0"/>
          <w:i w:val="0"/>
          <w:szCs w:val="24"/>
          <w:lang w:val="pt-BR"/>
        </w:rPr>
        <w:t xml:space="preserve">, definindo que a macro estratégia será elaborada pela </w:t>
      </w:r>
      <w:r w:rsidR="00291536" w:rsidRPr="00DE3690">
        <w:rPr>
          <w:rFonts w:asciiTheme="minorHAnsi" w:hAnsiTheme="minorHAnsi"/>
          <w:b w:val="0"/>
          <w:i w:val="0"/>
          <w:szCs w:val="24"/>
          <w:lang w:val="pt-BR"/>
        </w:rPr>
        <w:t>Unidade Gestora</w:t>
      </w:r>
      <w:r w:rsidR="003A5F75" w:rsidRPr="00DE3690">
        <w:rPr>
          <w:rFonts w:asciiTheme="minorHAnsi" w:hAnsiTheme="minorHAnsi"/>
          <w:b w:val="0"/>
          <w:i w:val="0"/>
          <w:szCs w:val="24"/>
          <w:lang w:val="pt-BR"/>
        </w:rPr>
        <w:t xml:space="preserve"> e aprovada pelo Conselho de Administração.</w:t>
      </w:r>
      <w:r w:rsidR="003A5F75" w:rsidRPr="00DE3690">
        <w:rPr>
          <w:rFonts w:asciiTheme="minorHAnsi" w:hAnsiTheme="minorHAnsi"/>
          <w:i w:val="0"/>
          <w:szCs w:val="24"/>
          <w:lang w:val="pt-BR"/>
        </w:rPr>
        <w:t xml:space="preserve"> </w:t>
      </w:r>
    </w:p>
    <w:p w:rsidR="004A637F" w:rsidRPr="00DE3690" w:rsidRDefault="004A637F" w:rsidP="00C30459">
      <w:pPr>
        <w:pStyle w:val="Default"/>
        <w:jc w:val="both"/>
        <w:rPr>
          <w:rFonts w:asciiTheme="minorHAnsi" w:hAnsiTheme="minorHAnsi"/>
          <w:color w:val="auto"/>
        </w:rPr>
      </w:pPr>
    </w:p>
    <w:p w:rsidR="004A637F" w:rsidRPr="00DE3690" w:rsidRDefault="001A566B" w:rsidP="00D15157">
      <w:pPr>
        <w:pStyle w:val="Ttulo2"/>
        <w:spacing w:before="0"/>
        <w:jc w:val="both"/>
        <w:rPr>
          <w:rFonts w:asciiTheme="minorHAnsi" w:hAnsiTheme="minorHAnsi"/>
          <w:b w:val="0"/>
          <w:i w:val="0"/>
          <w:szCs w:val="24"/>
          <w:lang w:val="pt-BR"/>
        </w:rPr>
      </w:pPr>
      <w:bookmarkStart w:id="3" w:name="_Toc525634169"/>
      <w:r w:rsidRPr="00DE3690">
        <w:rPr>
          <w:rFonts w:asciiTheme="minorHAnsi" w:hAnsiTheme="minorHAnsi"/>
          <w:i w:val="0"/>
          <w:szCs w:val="24"/>
          <w:lang w:val="pt-BR"/>
        </w:rPr>
        <w:t xml:space="preserve">Meta </w:t>
      </w:r>
      <w:r w:rsidR="004A637F" w:rsidRPr="00DE3690">
        <w:rPr>
          <w:rFonts w:asciiTheme="minorHAnsi" w:hAnsiTheme="minorHAnsi"/>
          <w:i w:val="0"/>
          <w:szCs w:val="24"/>
          <w:lang w:val="pt-BR"/>
        </w:rPr>
        <w:t>Atuarial</w:t>
      </w:r>
      <w:bookmarkEnd w:id="3"/>
      <w:r w:rsidR="00D15157" w:rsidRPr="00DE3690">
        <w:rPr>
          <w:rFonts w:asciiTheme="minorHAnsi" w:hAnsiTheme="minorHAnsi"/>
          <w:i w:val="0"/>
          <w:szCs w:val="24"/>
          <w:lang w:val="pt-BR"/>
        </w:rPr>
        <w:t xml:space="preserve">: </w:t>
      </w:r>
      <w:r w:rsidR="004A637F" w:rsidRPr="00DE3690">
        <w:rPr>
          <w:rFonts w:asciiTheme="minorHAnsi" w:hAnsiTheme="minorHAnsi"/>
          <w:b w:val="0"/>
          <w:i w:val="0"/>
          <w:szCs w:val="24"/>
          <w:lang w:val="pt-BR"/>
        </w:rPr>
        <w:t xml:space="preserve">Em linha com sua necessidade atuarial, o </w:t>
      </w:r>
      <w:r w:rsidR="00646827" w:rsidRPr="00DE3690">
        <w:rPr>
          <w:rFonts w:asciiTheme="minorHAnsi" w:hAnsiTheme="minorHAnsi"/>
          <w:b w:val="0"/>
          <w:bCs w:val="0"/>
          <w:i w:val="0"/>
          <w:szCs w:val="24"/>
          <w:lang w:val="pt-BR"/>
        </w:rPr>
        <w:t>IPESMUC</w:t>
      </w:r>
      <w:r w:rsidR="004A637F" w:rsidRPr="00DE3690">
        <w:rPr>
          <w:rFonts w:asciiTheme="minorHAnsi" w:hAnsiTheme="minorHAnsi"/>
          <w:b w:val="0"/>
          <w:bCs w:val="0"/>
          <w:i w:val="0"/>
          <w:szCs w:val="24"/>
          <w:lang w:val="pt-BR"/>
        </w:rPr>
        <w:t xml:space="preserve">, </w:t>
      </w:r>
      <w:r w:rsidR="004A637F" w:rsidRPr="00DE3690">
        <w:rPr>
          <w:rFonts w:asciiTheme="minorHAnsi" w:hAnsiTheme="minorHAnsi"/>
          <w:b w:val="0"/>
          <w:i w:val="0"/>
          <w:szCs w:val="24"/>
          <w:lang w:val="pt-BR"/>
        </w:rPr>
        <w:t xml:space="preserve">estabelece como meta, que a rentabilidade anual da carteira de investimentos alcance, no mínimo, desempenho equivalente a 6% (seis por cento) acrescida da variação do </w:t>
      </w:r>
      <w:r w:rsidR="00001D53" w:rsidRPr="00DE3690">
        <w:rPr>
          <w:rFonts w:asciiTheme="minorHAnsi" w:hAnsiTheme="minorHAnsi"/>
          <w:b w:val="0"/>
          <w:i w:val="0"/>
          <w:szCs w:val="24"/>
          <w:lang w:val="pt-BR"/>
        </w:rPr>
        <w:t>IPC</w:t>
      </w:r>
      <w:r w:rsidR="00646827" w:rsidRPr="00DE3690">
        <w:rPr>
          <w:rFonts w:asciiTheme="minorHAnsi" w:hAnsiTheme="minorHAnsi"/>
          <w:b w:val="0"/>
          <w:i w:val="0"/>
          <w:szCs w:val="24"/>
          <w:lang w:val="pt-BR"/>
        </w:rPr>
        <w:t>A</w:t>
      </w:r>
      <w:r w:rsidR="00001D53" w:rsidRPr="00DE3690">
        <w:rPr>
          <w:rFonts w:asciiTheme="minorHAnsi" w:hAnsiTheme="minorHAnsi"/>
          <w:b w:val="0"/>
          <w:i w:val="0"/>
          <w:szCs w:val="24"/>
          <w:lang w:val="pt-BR"/>
        </w:rPr>
        <w:t xml:space="preserve"> (Índice </w:t>
      </w:r>
      <w:r w:rsidR="00646827" w:rsidRPr="00DE3690">
        <w:rPr>
          <w:rFonts w:asciiTheme="minorHAnsi" w:hAnsiTheme="minorHAnsi"/>
          <w:b w:val="0"/>
          <w:i w:val="0"/>
          <w:szCs w:val="24"/>
          <w:lang w:val="pt-BR"/>
        </w:rPr>
        <w:t>de Preços ao Consumidor Amplo</w:t>
      </w:r>
      <w:r w:rsidR="00001D53" w:rsidRPr="00DE3690">
        <w:rPr>
          <w:rFonts w:asciiTheme="minorHAnsi" w:hAnsiTheme="minorHAnsi"/>
          <w:b w:val="0"/>
          <w:i w:val="0"/>
          <w:szCs w:val="24"/>
          <w:lang w:val="pt-BR"/>
        </w:rPr>
        <w:t>)</w:t>
      </w:r>
      <w:r w:rsidR="004A637F" w:rsidRPr="00DE3690">
        <w:rPr>
          <w:rFonts w:asciiTheme="minorHAnsi" w:hAnsiTheme="minorHAnsi"/>
          <w:b w:val="0"/>
          <w:i w:val="0"/>
          <w:szCs w:val="24"/>
          <w:lang w:val="pt-BR"/>
        </w:rPr>
        <w:t xml:space="preserve"> divulgado pelo IBGE.</w:t>
      </w:r>
    </w:p>
    <w:p w:rsidR="004A637F" w:rsidRDefault="004A637F" w:rsidP="00D15157">
      <w:pPr>
        <w:pStyle w:val="Default"/>
        <w:jc w:val="both"/>
        <w:rPr>
          <w:rFonts w:asciiTheme="minorHAnsi" w:hAnsiTheme="minorHAnsi"/>
          <w:color w:val="auto"/>
        </w:rPr>
      </w:pPr>
    </w:p>
    <w:p w:rsidR="002D76E8" w:rsidRPr="00DE3690" w:rsidRDefault="002D76E8" w:rsidP="002D76E8">
      <w:pPr>
        <w:pStyle w:val="Ttulo2"/>
        <w:spacing w:before="0"/>
        <w:jc w:val="both"/>
        <w:rPr>
          <w:rFonts w:asciiTheme="minorHAnsi" w:hAnsiTheme="minorHAnsi"/>
          <w:b w:val="0"/>
          <w:i w:val="0"/>
          <w:szCs w:val="24"/>
          <w:lang w:val="pt-BR"/>
        </w:rPr>
      </w:pPr>
      <w:r w:rsidRPr="00DE3690">
        <w:rPr>
          <w:rFonts w:asciiTheme="minorHAnsi" w:hAnsiTheme="minorHAnsi"/>
          <w:i w:val="0"/>
          <w:szCs w:val="24"/>
          <w:lang w:val="pt-BR"/>
        </w:rPr>
        <w:t xml:space="preserve">Comitê de Investimentos: </w:t>
      </w:r>
      <w:r w:rsidRPr="00DE3690">
        <w:rPr>
          <w:rFonts w:asciiTheme="minorHAnsi" w:hAnsiTheme="minorHAnsi"/>
          <w:b w:val="0"/>
          <w:i w:val="0"/>
          <w:szCs w:val="24"/>
          <w:lang w:val="pt-BR"/>
        </w:rPr>
        <w:t xml:space="preserve">As decisões deverão ser tomadas através do Comitês de Investimentos, assegurando um processo decisório colegiado e transparente, com objetivos e responsabilidades bem formuladas. Esta metodologia visa assegurar maior eficiência à gestão da carteira de investimentos do IPESMUC, com objetivo de buscar um balanço adequado de risco e retorno, sempre preservando o capital. </w:t>
      </w:r>
    </w:p>
    <w:p w:rsidR="002D76E8" w:rsidRPr="00DE3690" w:rsidRDefault="002D76E8" w:rsidP="00D15157">
      <w:pPr>
        <w:pStyle w:val="Default"/>
        <w:jc w:val="both"/>
        <w:rPr>
          <w:rFonts w:asciiTheme="minorHAnsi" w:hAnsiTheme="minorHAnsi"/>
          <w:color w:val="auto"/>
        </w:rPr>
      </w:pPr>
    </w:p>
    <w:p w:rsidR="00D15157" w:rsidRDefault="00D15157" w:rsidP="00D15157">
      <w:pPr>
        <w:pStyle w:val="Ttulo2"/>
        <w:spacing w:before="0"/>
        <w:jc w:val="both"/>
        <w:rPr>
          <w:rFonts w:asciiTheme="minorHAnsi" w:hAnsiTheme="minorHAnsi"/>
          <w:b w:val="0"/>
          <w:i w:val="0"/>
          <w:szCs w:val="24"/>
          <w:lang w:val="pt-BR"/>
        </w:rPr>
      </w:pPr>
    </w:p>
    <w:p w:rsidR="002D76E8" w:rsidRDefault="002D76E8" w:rsidP="002D76E8"/>
    <w:p w:rsidR="002D76E8" w:rsidRDefault="002D76E8" w:rsidP="002D76E8"/>
    <w:p w:rsidR="002D76E8" w:rsidRDefault="002D76E8" w:rsidP="002D76E8"/>
    <w:p w:rsidR="002D76E8" w:rsidRDefault="002D76E8" w:rsidP="002D76E8"/>
    <w:p w:rsidR="002D76E8" w:rsidRPr="002D76E8" w:rsidRDefault="002D76E8" w:rsidP="002D76E8"/>
    <w:p w:rsidR="00EB585E" w:rsidRPr="00DE3690" w:rsidRDefault="00BD1CF6" w:rsidP="00D15157">
      <w:pPr>
        <w:pStyle w:val="Ttulo2"/>
        <w:spacing w:before="0"/>
        <w:jc w:val="both"/>
        <w:rPr>
          <w:rFonts w:asciiTheme="minorHAnsi" w:hAnsiTheme="minorHAnsi"/>
          <w:i w:val="0"/>
          <w:szCs w:val="24"/>
          <w:lang w:val="pt-BR"/>
        </w:rPr>
      </w:pPr>
      <w:r w:rsidRPr="00DE3690">
        <w:rPr>
          <w:rFonts w:asciiTheme="minorHAnsi" w:hAnsiTheme="minorHAnsi"/>
          <w:b w:val="0"/>
          <w:i w:val="0"/>
          <w:szCs w:val="24"/>
          <w:lang w:val="pt-BR"/>
        </w:rPr>
        <w:t>O</w:t>
      </w:r>
      <w:r w:rsidR="00EB585E" w:rsidRPr="00DE3690">
        <w:rPr>
          <w:rFonts w:asciiTheme="minorHAnsi" w:hAnsiTheme="minorHAnsi"/>
          <w:b w:val="0"/>
          <w:i w:val="0"/>
          <w:szCs w:val="24"/>
          <w:lang w:val="pt-BR"/>
        </w:rPr>
        <w:t xml:space="preserve"> comitê de investimentos, órgão estabelecido em ato normativo pelo ente federativo, seguindo as diretrizes das Portarias MPAS nº 519/11 e suas alterações posteriores, deve ter a sua constituição e funcionamento direcionados, dentre outros, pelos seguintes pré-requisitos abaixo:</w:t>
      </w:r>
    </w:p>
    <w:p w:rsidR="00EB585E" w:rsidRPr="00DE3690" w:rsidRDefault="00D15157" w:rsidP="00D15157">
      <w:pPr>
        <w:pStyle w:val="PargrafodaLista"/>
        <w:spacing w:after="0"/>
        <w:ind w:left="0"/>
        <w:jc w:val="both"/>
        <w:rPr>
          <w:rFonts w:cs="Cambria"/>
          <w:sz w:val="24"/>
          <w:szCs w:val="24"/>
        </w:rPr>
      </w:pPr>
      <w:r w:rsidRPr="00DE3690">
        <w:rPr>
          <w:rFonts w:cs="Cambria"/>
          <w:sz w:val="24"/>
          <w:szCs w:val="24"/>
        </w:rPr>
        <w:t xml:space="preserve">a) </w:t>
      </w:r>
      <w:r w:rsidR="00EB585E" w:rsidRPr="00DE3690">
        <w:rPr>
          <w:rFonts w:cs="Cambria"/>
          <w:sz w:val="24"/>
          <w:szCs w:val="24"/>
        </w:rPr>
        <w:t>Os seus membros devem manter vínculo com o ente federativo ou com o RPPS, na qualidade de servidor titular de cargo efetivo ou de livre nomeação e exoneração;</w:t>
      </w:r>
    </w:p>
    <w:p w:rsidR="00EB585E" w:rsidRPr="00DE3690" w:rsidRDefault="00D15157" w:rsidP="00D15157">
      <w:pPr>
        <w:pStyle w:val="PargrafodaLista"/>
        <w:spacing w:after="0"/>
        <w:ind w:left="0"/>
        <w:jc w:val="both"/>
        <w:rPr>
          <w:rFonts w:cs="Cambria"/>
          <w:sz w:val="24"/>
          <w:szCs w:val="24"/>
        </w:rPr>
      </w:pPr>
      <w:r w:rsidRPr="00DE3690">
        <w:rPr>
          <w:rFonts w:cs="Cambria"/>
          <w:sz w:val="24"/>
          <w:szCs w:val="24"/>
        </w:rPr>
        <w:t xml:space="preserve">b) </w:t>
      </w:r>
      <w:r w:rsidR="00EB585E" w:rsidRPr="00DE3690">
        <w:rPr>
          <w:rFonts w:cs="Cambria"/>
          <w:sz w:val="24"/>
          <w:szCs w:val="24"/>
        </w:rPr>
        <w:t>Deve-se haver uma previsão de periodicidade das reuniões ordinárias e forma de convocação de extraordinárias;</w:t>
      </w:r>
    </w:p>
    <w:p w:rsidR="00EB585E" w:rsidRPr="00DE3690" w:rsidRDefault="00D15157" w:rsidP="00D15157">
      <w:pPr>
        <w:pStyle w:val="PargrafodaLista"/>
        <w:spacing w:after="0"/>
        <w:ind w:left="0"/>
        <w:jc w:val="both"/>
        <w:rPr>
          <w:rFonts w:cs="Cambria"/>
          <w:sz w:val="24"/>
          <w:szCs w:val="24"/>
        </w:rPr>
      </w:pPr>
      <w:r w:rsidRPr="00DE3690">
        <w:rPr>
          <w:rFonts w:cs="Cambria"/>
          <w:sz w:val="24"/>
          <w:szCs w:val="24"/>
        </w:rPr>
        <w:t xml:space="preserve">c) </w:t>
      </w:r>
      <w:r w:rsidR="00EB585E" w:rsidRPr="00DE3690">
        <w:rPr>
          <w:rFonts w:cs="Cambria"/>
          <w:sz w:val="24"/>
          <w:szCs w:val="24"/>
        </w:rPr>
        <w:t>Deve-se haver uma previsão de acessibilidade às informações relativas aos processos de investimento e desinvestimento de recursos do RPPS;</w:t>
      </w:r>
    </w:p>
    <w:p w:rsidR="00EB585E" w:rsidRPr="00DE3690" w:rsidRDefault="00D15157" w:rsidP="00D15157">
      <w:pPr>
        <w:pStyle w:val="PargrafodaLista"/>
        <w:spacing w:after="0"/>
        <w:ind w:left="0"/>
        <w:jc w:val="both"/>
        <w:rPr>
          <w:rFonts w:cs="Cambria"/>
          <w:sz w:val="24"/>
          <w:szCs w:val="24"/>
        </w:rPr>
      </w:pPr>
      <w:r w:rsidRPr="00DE3690">
        <w:rPr>
          <w:rFonts w:cs="Cambria"/>
          <w:sz w:val="24"/>
          <w:szCs w:val="24"/>
        </w:rPr>
        <w:t xml:space="preserve">d) </w:t>
      </w:r>
      <w:r w:rsidR="00EB585E" w:rsidRPr="00DE3690">
        <w:rPr>
          <w:rFonts w:cs="Cambria"/>
          <w:sz w:val="24"/>
          <w:szCs w:val="24"/>
        </w:rPr>
        <w:t>Todas as deliberações e decisões serem registradas em atas;</w:t>
      </w:r>
    </w:p>
    <w:p w:rsidR="00EB585E" w:rsidRPr="00DE3690" w:rsidRDefault="00D15157" w:rsidP="00D15157">
      <w:pPr>
        <w:pStyle w:val="PargrafodaLista"/>
        <w:spacing w:after="0"/>
        <w:ind w:left="0"/>
        <w:jc w:val="both"/>
        <w:rPr>
          <w:rFonts w:cs="Cambria"/>
          <w:sz w:val="24"/>
          <w:szCs w:val="24"/>
        </w:rPr>
      </w:pPr>
      <w:r w:rsidRPr="00DE3690">
        <w:rPr>
          <w:rFonts w:cs="Cambria"/>
          <w:sz w:val="24"/>
          <w:szCs w:val="24"/>
        </w:rPr>
        <w:t xml:space="preserve">e) </w:t>
      </w:r>
      <w:r w:rsidR="00EB585E" w:rsidRPr="00DE3690">
        <w:rPr>
          <w:rFonts w:cs="Cambria"/>
          <w:sz w:val="24"/>
          <w:szCs w:val="24"/>
        </w:rPr>
        <w:t>A maioria de seus membros deverão ser aprovados em exame de certificação específica de investimentos.</w:t>
      </w:r>
    </w:p>
    <w:p w:rsidR="00D15157" w:rsidRPr="00DE3690" w:rsidRDefault="00D15157" w:rsidP="00D15157">
      <w:pPr>
        <w:pStyle w:val="Ttulo2"/>
        <w:spacing w:before="0"/>
        <w:rPr>
          <w:rFonts w:asciiTheme="minorHAnsi" w:hAnsiTheme="minorHAnsi"/>
          <w:i w:val="0"/>
          <w:szCs w:val="24"/>
          <w:lang w:val="pt-BR"/>
        </w:rPr>
      </w:pPr>
      <w:bookmarkStart w:id="4" w:name="_Toc525634171"/>
    </w:p>
    <w:p w:rsidR="003176B2" w:rsidRPr="00DE3690" w:rsidRDefault="003176B2" w:rsidP="00D15157">
      <w:pPr>
        <w:pStyle w:val="Ttulo2"/>
        <w:spacing w:before="0"/>
        <w:rPr>
          <w:rFonts w:asciiTheme="minorHAnsi" w:hAnsiTheme="minorHAnsi"/>
          <w:i w:val="0"/>
          <w:szCs w:val="24"/>
          <w:lang w:val="pt-BR"/>
        </w:rPr>
      </w:pPr>
      <w:r w:rsidRPr="00DE3690">
        <w:rPr>
          <w:rFonts w:asciiTheme="minorHAnsi" w:hAnsiTheme="minorHAnsi"/>
          <w:i w:val="0"/>
          <w:szCs w:val="24"/>
          <w:lang w:val="pt-BR"/>
        </w:rPr>
        <w:t>Transparência e Governança</w:t>
      </w:r>
      <w:bookmarkEnd w:id="4"/>
    </w:p>
    <w:p w:rsidR="00CF68CC" w:rsidRPr="00DE3690" w:rsidRDefault="003176B2" w:rsidP="00D15157">
      <w:pPr>
        <w:pStyle w:val="Default"/>
        <w:jc w:val="both"/>
        <w:rPr>
          <w:rFonts w:asciiTheme="minorHAnsi" w:hAnsiTheme="minorHAnsi"/>
          <w:color w:val="auto"/>
        </w:rPr>
      </w:pPr>
      <w:r w:rsidRPr="00DE3690">
        <w:rPr>
          <w:rFonts w:asciiTheme="minorHAnsi" w:hAnsiTheme="minorHAnsi"/>
          <w:color w:val="auto"/>
        </w:rPr>
        <w:t xml:space="preserve">O </w:t>
      </w:r>
      <w:r w:rsidR="00646827" w:rsidRPr="00DE3690">
        <w:rPr>
          <w:rFonts w:asciiTheme="minorHAnsi" w:hAnsiTheme="minorHAnsi"/>
          <w:b/>
          <w:bCs/>
          <w:color w:val="auto"/>
        </w:rPr>
        <w:t>IPESMUC</w:t>
      </w:r>
      <w:r w:rsidR="00C30459" w:rsidRPr="00DE3690">
        <w:rPr>
          <w:rFonts w:asciiTheme="minorHAnsi" w:hAnsiTheme="minorHAnsi"/>
          <w:b/>
          <w:bCs/>
          <w:color w:val="auto"/>
        </w:rPr>
        <w:t xml:space="preserve"> </w:t>
      </w:r>
      <w:r w:rsidRPr="00DE3690">
        <w:rPr>
          <w:rFonts w:asciiTheme="minorHAnsi" w:hAnsiTheme="minorHAnsi"/>
          <w:color w:val="auto"/>
        </w:rPr>
        <w:t>busca estabelecer critérios de transparência e governança em seus processos internos de investimentos através da sua Política de Investimentos. Desta forma, foram definidos procedimentos para o credenciamento das instituições financeiras, criadas rotinas para as informações periodicamente enviadas por estas instituições, bem como, a forma de disponibilização dos resultados.</w:t>
      </w:r>
      <w:r w:rsidR="00CF68CC" w:rsidRPr="00DE3690">
        <w:rPr>
          <w:rFonts w:asciiTheme="minorHAnsi" w:hAnsiTheme="minorHAnsi"/>
          <w:color w:val="auto"/>
        </w:rPr>
        <w:t xml:space="preserve"> Deverão ser disponibilizados aos seus segurados e pensionistas: </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a) </w:t>
      </w:r>
      <w:r w:rsidR="00CF68CC" w:rsidRPr="00DE3690">
        <w:rPr>
          <w:rFonts w:asciiTheme="minorHAnsi" w:hAnsiTheme="minorHAnsi"/>
          <w:color w:val="auto"/>
        </w:rPr>
        <w:t>A integra desta Política de Investimentos, bem como, quaisquer alterações que virem a ser efetuadas até 30 (trinta) dias após a aprovação;</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b) </w:t>
      </w:r>
      <w:r w:rsidR="00CF68CC" w:rsidRPr="00DE3690">
        <w:rPr>
          <w:rFonts w:asciiTheme="minorHAnsi" w:hAnsiTheme="minorHAnsi"/>
          <w:color w:val="auto"/>
        </w:rPr>
        <w:t>As informações contidas nos formulários APR - Autorização de Aplicação e Resgate, no prazo de até trinta dias, contados da respectiva aplicação ou resgate;</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c) </w:t>
      </w:r>
      <w:r w:rsidR="00CF68CC" w:rsidRPr="00DE3690">
        <w:rPr>
          <w:rFonts w:asciiTheme="minorHAnsi" w:hAnsiTheme="minorHAnsi"/>
          <w:color w:val="auto"/>
        </w:rPr>
        <w:t xml:space="preserve">A composição da carteira de investimentos do </w:t>
      </w:r>
      <w:r w:rsidR="00646827" w:rsidRPr="00DE3690">
        <w:rPr>
          <w:rFonts w:asciiTheme="minorHAnsi" w:hAnsiTheme="minorHAnsi"/>
          <w:b/>
          <w:color w:val="auto"/>
        </w:rPr>
        <w:t>IPESMUC</w:t>
      </w:r>
      <w:r w:rsidR="00CF68CC" w:rsidRPr="00DE3690">
        <w:rPr>
          <w:rFonts w:asciiTheme="minorHAnsi" w:hAnsiTheme="minorHAnsi"/>
          <w:color w:val="auto"/>
        </w:rPr>
        <w:t>, no prazo de até trinta dias após o encerramento do mês;</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d) </w:t>
      </w:r>
      <w:r w:rsidR="00CF68CC" w:rsidRPr="00DE3690">
        <w:rPr>
          <w:rFonts w:asciiTheme="minorHAnsi" w:hAnsiTheme="minorHAnsi"/>
          <w:color w:val="auto"/>
        </w:rPr>
        <w:t>Os procedimentos de seleção das eventuais entidades autorizadas e credenciadas;</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e) </w:t>
      </w:r>
      <w:r w:rsidR="00CF68CC" w:rsidRPr="00DE3690">
        <w:rPr>
          <w:rFonts w:asciiTheme="minorHAnsi" w:hAnsiTheme="minorHAnsi"/>
          <w:color w:val="auto"/>
        </w:rPr>
        <w:t>As informações relativas ao processo de credenciamento de instituições para receber as aplicações dos recursos;</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f) </w:t>
      </w:r>
      <w:r w:rsidR="00CF68CC" w:rsidRPr="00DE3690">
        <w:rPr>
          <w:rFonts w:asciiTheme="minorHAnsi" w:hAnsiTheme="minorHAnsi"/>
          <w:color w:val="auto"/>
        </w:rPr>
        <w:t xml:space="preserve">A Relação das entidades credenciadas para atuar com o </w:t>
      </w:r>
      <w:r w:rsidR="00646827" w:rsidRPr="00DE3690">
        <w:rPr>
          <w:rFonts w:asciiTheme="minorHAnsi" w:hAnsiTheme="minorHAnsi"/>
          <w:b/>
          <w:color w:val="auto"/>
        </w:rPr>
        <w:t>IPESMUC</w:t>
      </w:r>
      <w:r w:rsidR="00CF68CC" w:rsidRPr="00DE3690">
        <w:rPr>
          <w:rFonts w:asciiTheme="minorHAnsi" w:hAnsiTheme="minorHAnsi"/>
          <w:color w:val="auto"/>
        </w:rPr>
        <w:t xml:space="preserve"> e respectiva data de atualização do credenciamento;</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g) </w:t>
      </w:r>
      <w:r w:rsidR="00CF68CC" w:rsidRPr="00DE3690">
        <w:rPr>
          <w:rFonts w:asciiTheme="minorHAnsi" w:hAnsiTheme="minorHAnsi"/>
          <w:color w:val="auto"/>
        </w:rPr>
        <w:t>As datas e locais das reuniões dos órgãos de deliberação colegiada e do Comitê de Investimentos;</w:t>
      </w:r>
    </w:p>
    <w:p w:rsidR="00CF68CC" w:rsidRPr="00DE3690" w:rsidRDefault="00D15157" w:rsidP="00D15157">
      <w:pPr>
        <w:pStyle w:val="Default"/>
        <w:jc w:val="both"/>
        <w:rPr>
          <w:rFonts w:asciiTheme="minorHAnsi" w:hAnsiTheme="minorHAnsi"/>
          <w:color w:val="auto"/>
        </w:rPr>
      </w:pPr>
      <w:r w:rsidRPr="00DE3690">
        <w:rPr>
          <w:rFonts w:asciiTheme="minorHAnsi" w:hAnsiTheme="minorHAnsi"/>
          <w:color w:val="auto"/>
        </w:rPr>
        <w:t xml:space="preserve">h) </w:t>
      </w:r>
      <w:r w:rsidR="00CF68CC" w:rsidRPr="00DE3690">
        <w:rPr>
          <w:rFonts w:asciiTheme="minorHAnsi" w:hAnsiTheme="minorHAnsi"/>
          <w:color w:val="auto"/>
        </w:rPr>
        <w:t xml:space="preserve">Em periodicidade mínima trimestral um relatório detalhado sobre a rentabilidade, os riscos das diversas modalidades de operações realizadas nas aplicações dos recursos do </w:t>
      </w:r>
      <w:r w:rsidR="00646827" w:rsidRPr="00DE3690">
        <w:rPr>
          <w:rFonts w:asciiTheme="minorHAnsi" w:hAnsiTheme="minorHAnsi"/>
          <w:b/>
          <w:color w:val="auto"/>
        </w:rPr>
        <w:t>IPESMUC</w:t>
      </w:r>
      <w:r w:rsidR="00CF68CC" w:rsidRPr="00DE3690">
        <w:rPr>
          <w:rFonts w:asciiTheme="minorHAnsi" w:hAnsiTheme="minorHAnsi"/>
          <w:color w:val="auto"/>
        </w:rPr>
        <w:t>.</w:t>
      </w:r>
    </w:p>
    <w:p w:rsidR="00CF68CC" w:rsidRPr="00DE3690" w:rsidRDefault="00CF68CC" w:rsidP="00C30459">
      <w:pPr>
        <w:pStyle w:val="Default"/>
        <w:jc w:val="both"/>
        <w:rPr>
          <w:rFonts w:asciiTheme="minorHAnsi" w:hAnsiTheme="minorHAnsi"/>
          <w:color w:val="auto"/>
        </w:rPr>
      </w:pPr>
    </w:p>
    <w:p w:rsidR="002D76E8" w:rsidRDefault="002D76E8" w:rsidP="00D15157">
      <w:pPr>
        <w:pStyle w:val="Ttulo2"/>
        <w:spacing w:before="0"/>
        <w:jc w:val="both"/>
        <w:rPr>
          <w:rFonts w:asciiTheme="minorHAnsi" w:hAnsiTheme="minorHAnsi"/>
          <w:i w:val="0"/>
          <w:szCs w:val="24"/>
          <w:lang w:val="pt-BR"/>
        </w:rPr>
      </w:pPr>
      <w:bookmarkStart w:id="5" w:name="_Toc525634172"/>
    </w:p>
    <w:p w:rsidR="002D76E8" w:rsidRDefault="002D76E8"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Pr="00155D21" w:rsidRDefault="00155D21" w:rsidP="00155D21"/>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CF68CC" w:rsidP="00D15157">
      <w:pPr>
        <w:pStyle w:val="Ttulo2"/>
        <w:spacing w:before="0"/>
        <w:jc w:val="both"/>
        <w:rPr>
          <w:rFonts w:asciiTheme="minorHAnsi" w:hAnsiTheme="minorHAnsi"/>
          <w:b w:val="0"/>
          <w:i w:val="0"/>
          <w:szCs w:val="24"/>
          <w:lang w:val="pt-BR"/>
        </w:rPr>
      </w:pPr>
      <w:r w:rsidRPr="00DE3690">
        <w:rPr>
          <w:rFonts w:asciiTheme="minorHAnsi" w:hAnsiTheme="minorHAnsi"/>
          <w:i w:val="0"/>
          <w:szCs w:val="24"/>
          <w:lang w:val="pt-BR"/>
        </w:rPr>
        <w:t>Credenciamento das Instituições Financeiras</w:t>
      </w:r>
      <w:bookmarkEnd w:id="5"/>
      <w:r w:rsidR="00D15157" w:rsidRPr="00DE3690">
        <w:rPr>
          <w:rFonts w:asciiTheme="minorHAnsi" w:hAnsiTheme="minorHAnsi"/>
          <w:i w:val="0"/>
          <w:szCs w:val="24"/>
          <w:lang w:val="pt-BR"/>
        </w:rPr>
        <w:t xml:space="preserve">: </w:t>
      </w:r>
      <w:r w:rsidRPr="00DE3690">
        <w:rPr>
          <w:rFonts w:asciiTheme="minorHAnsi" w:hAnsiTheme="minorHAnsi"/>
          <w:b w:val="0"/>
          <w:i w:val="0"/>
          <w:szCs w:val="24"/>
          <w:lang w:val="pt-BR"/>
        </w:rPr>
        <w:t xml:space="preserve">Poderão credenciar-se junto ao </w:t>
      </w:r>
      <w:r w:rsidR="00646827" w:rsidRPr="00DE3690">
        <w:rPr>
          <w:rFonts w:asciiTheme="minorHAnsi" w:hAnsiTheme="minorHAnsi"/>
          <w:b w:val="0"/>
          <w:i w:val="0"/>
          <w:szCs w:val="24"/>
          <w:lang w:val="pt-BR"/>
        </w:rPr>
        <w:t>IPESMUC</w:t>
      </w:r>
      <w:r w:rsidRPr="00DE3690">
        <w:rPr>
          <w:rFonts w:asciiTheme="minorHAnsi" w:hAnsiTheme="minorHAnsi"/>
          <w:b w:val="0"/>
          <w:i w:val="0"/>
          <w:szCs w:val="24"/>
          <w:lang w:val="pt-BR"/>
        </w:rPr>
        <w:t xml:space="preserve">, as instituições financeiras, outras instituições autorizadas ou credenciadas nos termos da legislação em vigor para o exercício profissional de administração de recursos financeiros, sociedades corretoras e distribuidoras de títulos e valores mobiliários, que estejam devidamente autorizadas, e em situação regular, pelo Banco Central do Brasil e Comissão de Valores Mobiliários a atuar no Sistema Financeiro Nacional, considerando como critérios, no mínimo, a solidez patrimonial da entidade, a </w:t>
      </w:r>
    </w:p>
    <w:p w:rsidR="002D76E8" w:rsidRDefault="00CF68CC" w:rsidP="00D15157">
      <w:pPr>
        <w:pStyle w:val="Ttulo2"/>
        <w:spacing w:before="0"/>
        <w:jc w:val="both"/>
        <w:rPr>
          <w:rFonts w:asciiTheme="minorHAnsi" w:hAnsiTheme="minorHAnsi"/>
          <w:b w:val="0"/>
          <w:i w:val="0"/>
          <w:szCs w:val="24"/>
          <w:lang w:val="pt-BR"/>
        </w:rPr>
      </w:pPr>
      <w:r w:rsidRPr="00DE3690">
        <w:rPr>
          <w:rFonts w:asciiTheme="minorHAnsi" w:hAnsiTheme="minorHAnsi"/>
          <w:b w:val="0"/>
          <w:i w:val="0"/>
          <w:szCs w:val="24"/>
          <w:lang w:val="pt-BR"/>
        </w:rPr>
        <w:t xml:space="preserve">compatibilidade desta com o volume de recursos e a experiência positiva no exercício da atividade de administração de recursos de terceiros e a regularidade fiscal e previdenciária. </w:t>
      </w:r>
    </w:p>
    <w:p w:rsidR="00CF68CC" w:rsidRPr="00DE3690" w:rsidRDefault="00CF68CC" w:rsidP="00D15157">
      <w:pPr>
        <w:pStyle w:val="Ttulo2"/>
        <w:spacing w:before="0"/>
        <w:jc w:val="both"/>
        <w:rPr>
          <w:rFonts w:asciiTheme="minorHAnsi" w:hAnsiTheme="minorHAnsi"/>
          <w:b w:val="0"/>
          <w:i w:val="0"/>
          <w:szCs w:val="24"/>
          <w:lang w:val="pt-BR"/>
        </w:rPr>
      </w:pPr>
      <w:r w:rsidRPr="00DE3690">
        <w:rPr>
          <w:rFonts w:asciiTheme="minorHAnsi" w:hAnsiTheme="minorHAnsi"/>
          <w:b w:val="0"/>
          <w:i w:val="0"/>
          <w:szCs w:val="24"/>
          <w:lang w:val="pt-BR"/>
        </w:rPr>
        <w:t>O modelo de credenciamento a ser seguido pelas instituições que desejarem se credenciar será definido exclusivamente pelo RPPS, seguindo as diretrizes da Portaria MPAS nº 519/11 e suas alterações posteriores, e não constituirá compromisso de que ocorrerão investimentos na instituição credenciada. Dentro dos critérios de credenciamento de instituições, dever</w:t>
      </w:r>
      <w:r w:rsidR="00E373EA" w:rsidRPr="00DE3690">
        <w:rPr>
          <w:rFonts w:asciiTheme="minorHAnsi" w:hAnsiTheme="minorHAnsi"/>
          <w:b w:val="0"/>
          <w:i w:val="0"/>
          <w:szCs w:val="24"/>
          <w:lang w:val="pt-BR"/>
        </w:rPr>
        <w:t xml:space="preserve">á </w:t>
      </w:r>
      <w:r w:rsidRPr="00DE3690">
        <w:rPr>
          <w:rFonts w:asciiTheme="minorHAnsi" w:hAnsiTheme="minorHAnsi"/>
          <w:b w:val="0"/>
          <w:i w:val="0"/>
          <w:szCs w:val="24"/>
          <w:lang w:val="pt-BR"/>
        </w:rPr>
        <w:t>ser observad</w:t>
      </w:r>
      <w:r w:rsidR="00E373EA" w:rsidRPr="00DE3690">
        <w:rPr>
          <w:rFonts w:asciiTheme="minorHAnsi" w:hAnsiTheme="minorHAnsi"/>
          <w:b w:val="0"/>
          <w:i w:val="0"/>
          <w:szCs w:val="24"/>
          <w:lang w:val="pt-BR"/>
        </w:rPr>
        <w:t xml:space="preserve">a </w:t>
      </w:r>
      <w:r w:rsidRPr="00DE3690">
        <w:rPr>
          <w:rFonts w:asciiTheme="minorHAnsi" w:hAnsiTheme="minorHAnsi"/>
          <w:b w:val="0"/>
          <w:i w:val="0"/>
          <w:szCs w:val="24"/>
          <w:lang w:val="pt-BR"/>
        </w:rPr>
        <w:t xml:space="preserve">a Nota Técnica Nº 17/2017/CGACI/DRPSP/SPPS/MF, que substituiu o “Termo de Análise de Credenciamento” e o “Atestado de Credenciamento”, as instituições credenciadas deverão enviar e disponibilizar informações acerca de sua estrutura operacionais e de gestão dos fundos de investimentos. Essas informações deverão ser disponibilizadas através do Questionário Padrão </w:t>
      </w:r>
      <w:proofErr w:type="spellStart"/>
      <w:r w:rsidRPr="00DE3690">
        <w:rPr>
          <w:rFonts w:asciiTheme="minorHAnsi" w:hAnsiTheme="minorHAnsi"/>
          <w:b w:val="0"/>
          <w:i w:val="0"/>
          <w:szCs w:val="24"/>
          <w:lang w:val="pt-BR"/>
        </w:rPr>
        <w:t>DueDiligence</w:t>
      </w:r>
      <w:proofErr w:type="spellEnd"/>
      <w:r w:rsidRPr="00DE3690">
        <w:rPr>
          <w:rFonts w:asciiTheme="minorHAnsi" w:hAnsiTheme="minorHAnsi"/>
          <w:b w:val="0"/>
          <w:i w:val="0"/>
          <w:szCs w:val="24"/>
          <w:lang w:val="pt-BR"/>
        </w:rPr>
        <w:t xml:space="preserve"> para Fundos de Investimento – ANBIMA (QDD ANBIMA), somente no caso de gestores e administradores de fundos. Especificamente em relação aos agentes autônomos de investimentos, esses deverão apresentar o QDD ANBIMA referente às instituições que representam.</w:t>
      </w:r>
    </w:p>
    <w:p w:rsidR="00CF68CC" w:rsidRPr="00DE3690" w:rsidRDefault="00CF68CC" w:rsidP="00D15157">
      <w:pPr>
        <w:pStyle w:val="Default"/>
        <w:jc w:val="both"/>
        <w:rPr>
          <w:rFonts w:asciiTheme="minorHAnsi" w:hAnsiTheme="minorHAnsi"/>
          <w:color w:val="auto"/>
        </w:rPr>
      </w:pPr>
    </w:p>
    <w:p w:rsidR="00CF68CC" w:rsidRPr="00DE3690" w:rsidRDefault="00CF68CC" w:rsidP="00D15157">
      <w:pPr>
        <w:pStyle w:val="Default"/>
        <w:jc w:val="both"/>
        <w:rPr>
          <w:rFonts w:asciiTheme="minorHAnsi" w:hAnsiTheme="minorHAnsi"/>
          <w:color w:val="auto"/>
        </w:rPr>
      </w:pPr>
      <w:r w:rsidRPr="00DE3690">
        <w:rPr>
          <w:rFonts w:asciiTheme="minorHAnsi" w:hAnsiTheme="minorHAnsi"/>
          <w:color w:val="auto"/>
        </w:rPr>
        <w:t>Os documentos em meio papel poderão ser substituídos por sua disponibilização na internet em página da instituição credenciada e pela manutenção de arquivo em meio digital no RPPS, para apresentação à auditoria do MTPS e demais órgãos de controle.</w:t>
      </w:r>
    </w:p>
    <w:p w:rsidR="003176B2" w:rsidRPr="00DE3690" w:rsidRDefault="003176B2" w:rsidP="00C30459">
      <w:pPr>
        <w:spacing w:after="0" w:line="240" w:lineRule="auto"/>
        <w:jc w:val="both"/>
        <w:rPr>
          <w:rFonts w:cs="Cambria"/>
          <w:sz w:val="24"/>
          <w:szCs w:val="24"/>
        </w:rPr>
      </w:pPr>
    </w:p>
    <w:p w:rsidR="00EB585E" w:rsidRPr="00DE3690" w:rsidRDefault="00EB585E" w:rsidP="00D15157">
      <w:pPr>
        <w:pStyle w:val="Ttulo2"/>
        <w:spacing w:before="0"/>
        <w:jc w:val="both"/>
        <w:rPr>
          <w:rFonts w:asciiTheme="minorHAnsi" w:hAnsiTheme="minorHAnsi"/>
          <w:b w:val="0"/>
          <w:i w:val="0"/>
          <w:szCs w:val="24"/>
          <w:lang w:val="pt-BR"/>
        </w:rPr>
      </w:pPr>
      <w:bookmarkStart w:id="6" w:name="_Toc525634173"/>
      <w:r w:rsidRPr="00DE3690">
        <w:rPr>
          <w:rFonts w:asciiTheme="minorHAnsi" w:hAnsiTheme="minorHAnsi"/>
          <w:i w:val="0"/>
          <w:szCs w:val="24"/>
          <w:lang w:val="pt-BR"/>
        </w:rPr>
        <w:t>Tipo de Investidor</w:t>
      </w:r>
      <w:bookmarkEnd w:id="6"/>
      <w:r w:rsidR="00D15157" w:rsidRPr="00DE3690">
        <w:rPr>
          <w:rFonts w:asciiTheme="minorHAnsi" w:hAnsiTheme="minorHAnsi"/>
          <w:i w:val="0"/>
          <w:szCs w:val="24"/>
          <w:lang w:val="pt-BR"/>
        </w:rPr>
        <w:t xml:space="preserve">: </w:t>
      </w:r>
      <w:r w:rsidRPr="00DE3690">
        <w:rPr>
          <w:rFonts w:asciiTheme="minorHAnsi" w:hAnsiTheme="minorHAnsi"/>
          <w:b w:val="0"/>
          <w:i w:val="0"/>
          <w:szCs w:val="24"/>
          <w:lang w:val="pt-BR"/>
        </w:rPr>
        <w:t xml:space="preserve">De acordo com a Instrução CVM nº 554/14 e da Portaria MPAS nº 300/15, o </w:t>
      </w:r>
      <w:r w:rsidR="00646827" w:rsidRPr="00DE3690">
        <w:rPr>
          <w:rFonts w:asciiTheme="minorHAnsi" w:hAnsiTheme="minorHAnsi"/>
          <w:b w:val="0"/>
          <w:i w:val="0"/>
          <w:szCs w:val="24"/>
          <w:lang w:val="pt-BR"/>
        </w:rPr>
        <w:t>IPESMUC</w:t>
      </w:r>
      <w:r w:rsidRPr="00DE3690">
        <w:rPr>
          <w:rFonts w:asciiTheme="minorHAnsi" w:hAnsiTheme="minorHAnsi"/>
          <w:b w:val="0"/>
          <w:i w:val="0"/>
          <w:szCs w:val="24"/>
          <w:lang w:val="pt-BR"/>
        </w:rPr>
        <w:t xml:space="preserve"> é considerado investidor qualificado, podendo fazer alocação nos fundos destinados a este tipo de investidor, nos termos da legislação em vigor. Para tanto, </w:t>
      </w:r>
      <w:r w:rsidR="001A566B" w:rsidRPr="00DE3690">
        <w:rPr>
          <w:rFonts w:asciiTheme="minorHAnsi" w:hAnsiTheme="minorHAnsi"/>
          <w:b w:val="0"/>
          <w:i w:val="0"/>
          <w:szCs w:val="24"/>
          <w:lang w:val="pt-BR"/>
        </w:rPr>
        <w:t xml:space="preserve">deve </w:t>
      </w:r>
      <w:r w:rsidRPr="00DE3690">
        <w:rPr>
          <w:rFonts w:asciiTheme="minorHAnsi" w:hAnsiTheme="minorHAnsi"/>
          <w:b w:val="0"/>
          <w:i w:val="0"/>
          <w:szCs w:val="24"/>
          <w:lang w:val="pt-BR"/>
        </w:rPr>
        <w:t>cumpr</w:t>
      </w:r>
      <w:r w:rsidR="001A566B" w:rsidRPr="00DE3690">
        <w:rPr>
          <w:rFonts w:asciiTheme="minorHAnsi" w:hAnsiTheme="minorHAnsi"/>
          <w:b w:val="0"/>
          <w:i w:val="0"/>
          <w:szCs w:val="24"/>
          <w:lang w:val="pt-BR"/>
        </w:rPr>
        <w:t>ir</w:t>
      </w:r>
      <w:r w:rsidRPr="00DE3690">
        <w:rPr>
          <w:rFonts w:asciiTheme="minorHAnsi" w:hAnsiTheme="minorHAnsi"/>
          <w:b w:val="0"/>
          <w:i w:val="0"/>
          <w:szCs w:val="24"/>
          <w:lang w:val="pt-BR"/>
        </w:rPr>
        <w:t xml:space="preserve"> os seguintes pré-requisitos:</w:t>
      </w:r>
    </w:p>
    <w:p w:rsidR="00EB585E" w:rsidRPr="00DE3690" w:rsidRDefault="00D15157" w:rsidP="00D15157">
      <w:pPr>
        <w:spacing w:after="0" w:line="240" w:lineRule="auto"/>
        <w:jc w:val="both"/>
        <w:rPr>
          <w:rFonts w:cs="Cambria"/>
          <w:sz w:val="24"/>
          <w:szCs w:val="24"/>
        </w:rPr>
      </w:pPr>
      <w:r w:rsidRPr="00DE3690">
        <w:rPr>
          <w:rFonts w:cs="Cambria"/>
          <w:sz w:val="24"/>
          <w:szCs w:val="24"/>
        </w:rPr>
        <w:t xml:space="preserve">- </w:t>
      </w:r>
      <w:r w:rsidR="00EB585E" w:rsidRPr="00DE3690">
        <w:rPr>
          <w:rFonts w:cs="Cambria"/>
          <w:sz w:val="24"/>
          <w:szCs w:val="24"/>
        </w:rPr>
        <w:t xml:space="preserve">Deverá ter o Certificado de Regularidade Previdenciária - CRP vigente na data da realização de cada aplicação; </w:t>
      </w:r>
    </w:p>
    <w:p w:rsidR="00EB585E" w:rsidRPr="00DE3690" w:rsidRDefault="00D15157" w:rsidP="00D15157">
      <w:pPr>
        <w:spacing w:after="0" w:line="240" w:lineRule="auto"/>
        <w:jc w:val="both"/>
        <w:rPr>
          <w:rFonts w:cs="Cambria"/>
          <w:sz w:val="24"/>
          <w:szCs w:val="24"/>
        </w:rPr>
      </w:pPr>
      <w:r w:rsidRPr="00DE3690">
        <w:rPr>
          <w:rFonts w:cs="Cambria"/>
          <w:sz w:val="24"/>
          <w:szCs w:val="24"/>
        </w:rPr>
        <w:t xml:space="preserve">- </w:t>
      </w:r>
      <w:r w:rsidR="00EB585E" w:rsidRPr="00DE3690">
        <w:rPr>
          <w:rFonts w:cs="Cambria"/>
          <w:sz w:val="24"/>
          <w:szCs w:val="24"/>
        </w:rPr>
        <w:t xml:space="preserve">Deverá possuir os seus recursos aplicados, informados no Demonstrativo das Aplicações e Investimentos dos Recursos - DAIR enviado à SPPS, do bimestre imediatamente anterior à data de realização de cada aplicação exclusiva para tal categoria de investidor, em montante igual ou superior a R$ </w:t>
      </w:r>
      <w:r w:rsidRPr="00DE3690">
        <w:rPr>
          <w:rFonts w:cs="Cambria"/>
          <w:sz w:val="24"/>
          <w:szCs w:val="24"/>
        </w:rPr>
        <w:t>10.000</w:t>
      </w:r>
      <w:r w:rsidR="00EB585E" w:rsidRPr="00DE3690">
        <w:rPr>
          <w:rFonts w:cs="Cambria"/>
          <w:sz w:val="24"/>
          <w:szCs w:val="24"/>
        </w:rPr>
        <w:t>.000,00 (</w:t>
      </w:r>
      <w:r w:rsidRPr="00DE3690">
        <w:rPr>
          <w:rFonts w:cs="Cambria"/>
          <w:sz w:val="24"/>
          <w:szCs w:val="24"/>
        </w:rPr>
        <w:t xml:space="preserve">dez </w:t>
      </w:r>
      <w:r w:rsidR="00EB585E" w:rsidRPr="00DE3690">
        <w:rPr>
          <w:rFonts w:cs="Cambria"/>
          <w:sz w:val="24"/>
          <w:szCs w:val="24"/>
        </w:rPr>
        <w:t>milhões de reais);</w:t>
      </w:r>
    </w:p>
    <w:p w:rsidR="00EB585E" w:rsidRPr="00DE3690" w:rsidRDefault="00D15157" w:rsidP="00D15157">
      <w:pPr>
        <w:spacing w:after="0" w:line="240" w:lineRule="auto"/>
        <w:jc w:val="both"/>
        <w:rPr>
          <w:rFonts w:cs="Cambria"/>
          <w:sz w:val="24"/>
          <w:szCs w:val="24"/>
        </w:rPr>
      </w:pPr>
      <w:r w:rsidRPr="00DE3690">
        <w:rPr>
          <w:rFonts w:cs="Cambria"/>
          <w:sz w:val="24"/>
          <w:szCs w:val="24"/>
        </w:rPr>
        <w:t xml:space="preserve">- </w:t>
      </w:r>
      <w:r w:rsidR="00EB585E" w:rsidRPr="00DE3690">
        <w:rPr>
          <w:rFonts w:cs="Cambria"/>
          <w:sz w:val="24"/>
          <w:szCs w:val="24"/>
        </w:rPr>
        <w:t>Deverá comprovar o efetivo funcionamento do Comitê de Investimentos;</w:t>
      </w:r>
    </w:p>
    <w:p w:rsidR="00EB585E" w:rsidRPr="00DE3690" w:rsidRDefault="00D15157" w:rsidP="00D15157">
      <w:pPr>
        <w:spacing w:after="0" w:line="240" w:lineRule="auto"/>
        <w:jc w:val="both"/>
        <w:rPr>
          <w:rFonts w:cs="Cambria"/>
          <w:sz w:val="24"/>
          <w:szCs w:val="24"/>
        </w:rPr>
      </w:pPr>
      <w:r w:rsidRPr="00B17B28">
        <w:rPr>
          <w:rFonts w:cs="Cambria"/>
          <w:sz w:val="24"/>
          <w:szCs w:val="24"/>
        </w:rPr>
        <w:t xml:space="preserve">- </w:t>
      </w:r>
      <w:r w:rsidR="00EB585E" w:rsidRPr="00B17B28">
        <w:rPr>
          <w:rFonts w:cs="Cambria"/>
          <w:sz w:val="24"/>
          <w:szCs w:val="24"/>
        </w:rPr>
        <w:t>Deverá ter aderido ao Programa de Certificação Institucional e Modernização da Gestão dos Regimes Próprios de Previdência Social da União, dos Estados, do Distrito Federal e dos Municípios - "Pró-Gestão RPPS", instituído pela Portaria MPS nº 185, de 14 de maio de 2015, e obtido certificação institucional em um dos níveis de aderência nela estabelecidos.</w:t>
      </w:r>
    </w:p>
    <w:p w:rsidR="00EB585E" w:rsidRPr="00DE3690" w:rsidRDefault="00EB585E" w:rsidP="00C30459">
      <w:pPr>
        <w:pStyle w:val="Default"/>
        <w:jc w:val="both"/>
        <w:rPr>
          <w:rFonts w:asciiTheme="minorHAnsi" w:hAnsiTheme="minorHAnsi"/>
          <w:color w:val="auto"/>
        </w:rPr>
      </w:pPr>
    </w:p>
    <w:p w:rsidR="00155D21" w:rsidRDefault="00155D21" w:rsidP="00D15157">
      <w:pPr>
        <w:pStyle w:val="Ttulo2"/>
        <w:spacing w:before="0"/>
        <w:jc w:val="both"/>
        <w:rPr>
          <w:rFonts w:asciiTheme="minorHAnsi" w:hAnsiTheme="minorHAnsi"/>
          <w:i w:val="0"/>
          <w:szCs w:val="24"/>
          <w:lang w:val="pt-BR"/>
        </w:rPr>
      </w:pPr>
      <w:bookmarkStart w:id="7" w:name="_Toc525634174"/>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155D21" w:rsidP="00D15157">
      <w:pPr>
        <w:pStyle w:val="Ttulo2"/>
        <w:spacing w:before="0"/>
        <w:jc w:val="both"/>
        <w:rPr>
          <w:rFonts w:asciiTheme="minorHAnsi" w:hAnsiTheme="minorHAnsi"/>
          <w:i w:val="0"/>
          <w:szCs w:val="24"/>
          <w:lang w:val="pt-BR"/>
        </w:rPr>
      </w:pPr>
    </w:p>
    <w:p w:rsidR="00155D21" w:rsidRDefault="00FD6382" w:rsidP="00D15157">
      <w:pPr>
        <w:pStyle w:val="Ttulo2"/>
        <w:spacing w:before="0"/>
        <w:jc w:val="both"/>
        <w:rPr>
          <w:rFonts w:asciiTheme="minorHAnsi" w:hAnsiTheme="minorHAnsi"/>
          <w:b w:val="0"/>
          <w:i w:val="0"/>
          <w:szCs w:val="24"/>
          <w:lang w:val="pt-BR"/>
        </w:rPr>
      </w:pPr>
      <w:r w:rsidRPr="00DE3690">
        <w:rPr>
          <w:rFonts w:asciiTheme="minorHAnsi" w:hAnsiTheme="minorHAnsi"/>
          <w:i w:val="0"/>
          <w:szCs w:val="24"/>
          <w:lang w:val="pt-BR"/>
        </w:rPr>
        <w:t>Consultoria de Investimentos</w:t>
      </w:r>
      <w:bookmarkEnd w:id="7"/>
      <w:r w:rsidR="00D15157" w:rsidRPr="00DE3690">
        <w:rPr>
          <w:rFonts w:asciiTheme="minorHAnsi" w:hAnsiTheme="minorHAnsi"/>
          <w:i w:val="0"/>
          <w:szCs w:val="24"/>
          <w:lang w:val="pt-BR"/>
        </w:rPr>
        <w:t xml:space="preserve">: </w:t>
      </w:r>
      <w:r w:rsidR="002B0990" w:rsidRPr="00DE3690">
        <w:rPr>
          <w:rFonts w:asciiTheme="minorHAnsi" w:hAnsiTheme="minorHAnsi"/>
          <w:b w:val="0"/>
          <w:i w:val="0"/>
          <w:szCs w:val="24"/>
          <w:lang w:val="pt-BR"/>
        </w:rPr>
        <w:t xml:space="preserve">O </w:t>
      </w:r>
      <w:r w:rsidR="00646827" w:rsidRPr="00DE3690">
        <w:rPr>
          <w:rFonts w:asciiTheme="minorHAnsi" w:hAnsiTheme="minorHAnsi"/>
          <w:b w:val="0"/>
          <w:i w:val="0"/>
          <w:szCs w:val="24"/>
          <w:lang w:val="pt-BR"/>
        </w:rPr>
        <w:t>IPESMUC</w:t>
      </w:r>
      <w:r w:rsidR="002B0990" w:rsidRPr="00DE3690">
        <w:rPr>
          <w:rFonts w:asciiTheme="minorHAnsi" w:hAnsiTheme="minorHAnsi"/>
          <w:b w:val="0"/>
          <w:i w:val="0"/>
          <w:szCs w:val="24"/>
          <w:lang w:val="pt-BR"/>
        </w:rPr>
        <w:t xml:space="preserve"> possui contrato com empresa prestadora de serviços de consultoria de valores mobiliários, denominada </w:t>
      </w:r>
      <w:r w:rsidR="00021EF9" w:rsidRPr="00DE3690">
        <w:rPr>
          <w:rFonts w:asciiTheme="minorHAnsi" w:hAnsiTheme="minorHAnsi"/>
          <w:b w:val="0"/>
          <w:i w:val="0"/>
          <w:szCs w:val="24"/>
          <w:lang w:val="pt-BR"/>
        </w:rPr>
        <w:t>A AMX CONSULTORIA DE INVESTIMENTOS LTDA</w:t>
      </w:r>
      <w:r w:rsidR="002B0990" w:rsidRPr="00DE3690">
        <w:rPr>
          <w:rFonts w:asciiTheme="minorHAnsi" w:hAnsiTheme="minorHAnsi"/>
          <w:b w:val="0"/>
          <w:i w:val="0"/>
          <w:szCs w:val="24"/>
          <w:lang w:val="pt-BR"/>
        </w:rPr>
        <w:t xml:space="preserve"> (CNPJ: 22.863.573/0001-81), </w:t>
      </w:r>
      <w:r w:rsidR="00021EF9" w:rsidRPr="00DE3690">
        <w:rPr>
          <w:rFonts w:asciiTheme="minorHAnsi" w:hAnsiTheme="minorHAnsi"/>
          <w:b w:val="0"/>
          <w:i w:val="0"/>
          <w:szCs w:val="24"/>
          <w:lang w:val="pt-BR"/>
        </w:rPr>
        <w:t>com</w:t>
      </w:r>
      <w:r w:rsidR="004228E2" w:rsidRPr="00DE3690">
        <w:rPr>
          <w:rFonts w:asciiTheme="minorHAnsi" w:hAnsiTheme="minorHAnsi"/>
          <w:b w:val="0"/>
          <w:i w:val="0"/>
          <w:szCs w:val="24"/>
          <w:lang w:val="pt-BR"/>
        </w:rPr>
        <w:t xml:space="preserve"> </w:t>
      </w:r>
      <w:r w:rsidR="00021EF9" w:rsidRPr="00DE3690">
        <w:rPr>
          <w:rFonts w:asciiTheme="minorHAnsi" w:hAnsiTheme="minorHAnsi"/>
          <w:b w:val="0"/>
          <w:i w:val="0"/>
          <w:szCs w:val="24"/>
          <w:lang w:val="pt-BR"/>
        </w:rPr>
        <w:t xml:space="preserve">funcionamento autorizado pela Comissão de Valores Mobiliário (CVM), com especialidade no segmento previdenciário e institucional. </w:t>
      </w:r>
    </w:p>
    <w:p w:rsidR="002B0990" w:rsidRPr="00DE3690" w:rsidRDefault="00021EF9" w:rsidP="00D15157">
      <w:pPr>
        <w:pStyle w:val="Ttulo2"/>
        <w:spacing w:before="0"/>
        <w:jc w:val="both"/>
        <w:rPr>
          <w:rFonts w:asciiTheme="minorHAnsi" w:hAnsiTheme="minorHAnsi"/>
          <w:b w:val="0"/>
          <w:i w:val="0"/>
          <w:szCs w:val="24"/>
          <w:lang w:val="pt-BR"/>
        </w:rPr>
      </w:pPr>
      <w:r w:rsidRPr="00DE3690">
        <w:rPr>
          <w:rFonts w:asciiTheme="minorHAnsi" w:hAnsiTheme="minorHAnsi"/>
          <w:b w:val="0"/>
          <w:i w:val="0"/>
          <w:szCs w:val="24"/>
          <w:lang w:val="pt-BR"/>
        </w:rPr>
        <w:t>Através do</w:t>
      </w:r>
      <w:r w:rsidR="004228E2" w:rsidRPr="00DE3690">
        <w:rPr>
          <w:rFonts w:asciiTheme="minorHAnsi" w:hAnsiTheme="minorHAnsi"/>
          <w:b w:val="0"/>
          <w:i w:val="0"/>
          <w:szCs w:val="24"/>
          <w:lang w:val="pt-BR"/>
        </w:rPr>
        <w:t xml:space="preserve"> </w:t>
      </w:r>
      <w:r w:rsidRPr="00DE3690">
        <w:rPr>
          <w:rFonts w:asciiTheme="minorHAnsi" w:hAnsiTheme="minorHAnsi"/>
          <w:b w:val="0"/>
          <w:i w:val="0"/>
          <w:szCs w:val="24"/>
          <w:lang w:val="pt-BR"/>
        </w:rPr>
        <w:t>Ato Declaratório de nº 14.576, de 20 de outubro de 2015, o Superintendente de Relações com Investidores Institucionais da Comissão de Valores</w:t>
      </w:r>
      <w:r w:rsidR="004228E2" w:rsidRPr="00DE3690">
        <w:rPr>
          <w:rFonts w:asciiTheme="minorHAnsi" w:hAnsiTheme="minorHAnsi"/>
          <w:b w:val="0"/>
          <w:i w:val="0"/>
          <w:szCs w:val="24"/>
          <w:lang w:val="pt-BR"/>
        </w:rPr>
        <w:t xml:space="preserve"> </w:t>
      </w:r>
      <w:r w:rsidRPr="00DE3690">
        <w:rPr>
          <w:rFonts w:asciiTheme="minorHAnsi" w:hAnsiTheme="minorHAnsi"/>
          <w:b w:val="0"/>
          <w:i w:val="0"/>
          <w:szCs w:val="24"/>
          <w:lang w:val="pt-BR"/>
        </w:rPr>
        <w:t xml:space="preserve">Mobiliários, no uso da competência que lhe foi delegada pela Deliberação CVM nº 158, de 21/07/93, </w:t>
      </w:r>
      <w:r w:rsidR="002B0990" w:rsidRPr="00DE3690">
        <w:rPr>
          <w:rFonts w:asciiTheme="minorHAnsi" w:hAnsiTheme="minorHAnsi"/>
          <w:b w:val="0"/>
          <w:i w:val="0"/>
          <w:szCs w:val="24"/>
          <w:lang w:val="pt-BR"/>
        </w:rPr>
        <w:t>autorizou a mesma</w:t>
      </w:r>
      <w:r w:rsidRPr="00DE3690">
        <w:rPr>
          <w:rFonts w:asciiTheme="minorHAnsi" w:hAnsiTheme="minorHAnsi"/>
          <w:b w:val="0"/>
          <w:i w:val="0"/>
          <w:szCs w:val="24"/>
          <w:lang w:val="pt-BR"/>
        </w:rPr>
        <w:t xml:space="preserve"> a prestar os serviços de Consultor de Valores Mobiliários, previstos no artigo 27 da lei nº</w:t>
      </w:r>
      <w:r w:rsidR="004228E2" w:rsidRPr="00DE3690">
        <w:rPr>
          <w:rFonts w:asciiTheme="minorHAnsi" w:hAnsiTheme="minorHAnsi"/>
          <w:b w:val="0"/>
          <w:i w:val="0"/>
          <w:szCs w:val="24"/>
          <w:lang w:val="pt-BR"/>
        </w:rPr>
        <w:t xml:space="preserve"> </w:t>
      </w:r>
      <w:r w:rsidRPr="00DE3690">
        <w:rPr>
          <w:rFonts w:asciiTheme="minorHAnsi" w:hAnsiTheme="minorHAnsi"/>
          <w:b w:val="0"/>
          <w:i w:val="0"/>
          <w:szCs w:val="24"/>
          <w:lang w:val="pt-BR"/>
        </w:rPr>
        <w:t>6.385/76, de 07 de dezembro de 1976.</w:t>
      </w:r>
    </w:p>
    <w:p w:rsidR="002B0990" w:rsidRPr="00DE3690" w:rsidRDefault="002B0990" w:rsidP="00D15157">
      <w:pPr>
        <w:pStyle w:val="Default"/>
        <w:jc w:val="both"/>
        <w:rPr>
          <w:rFonts w:asciiTheme="minorHAnsi" w:hAnsiTheme="minorHAnsi"/>
          <w:color w:val="auto"/>
        </w:rPr>
      </w:pPr>
    </w:p>
    <w:p w:rsidR="002B0990" w:rsidRPr="00DE3690" w:rsidRDefault="002B0990" w:rsidP="00C30459">
      <w:pPr>
        <w:pStyle w:val="Default"/>
        <w:jc w:val="both"/>
        <w:rPr>
          <w:rFonts w:asciiTheme="minorHAnsi" w:hAnsiTheme="minorHAnsi"/>
          <w:color w:val="auto"/>
        </w:rPr>
      </w:pPr>
      <w:r w:rsidRPr="00DE3690">
        <w:rPr>
          <w:rFonts w:asciiTheme="minorHAnsi" w:hAnsiTheme="minorHAnsi"/>
          <w:color w:val="auto"/>
        </w:rPr>
        <w:t xml:space="preserve">A AMX CONSULTORIA DE INVESTIMENTOS LTDA é responsável pela elaboração dos serviços de controladoria da carteira de investimentos do </w:t>
      </w:r>
      <w:r w:rsidR="00646827" w:rsidRPr="00DE3690">
        <w:rPr>
          <w:rFonts w:asciiTheme="minorHAnsi" w:hAnsiTheme="minorHAnsi"/>
          <w:color w:val="auto"/>
        </w:rPr>
        <w:t>IPESMUC</w:t>
      </w:r>
      <w:r w:rsidR="00AB0B21" w:rsidRPr="00DE3690">
        <w:rPr>
          <w:rFonts w:asciiTheme="minorHAnsi" w:hAnsiTheme="minorHAnsi"/>
          <w:color w:val="auto"/>
        </w:rPr>
        <w:t>, bem como a análise das métricas de rentabilidade e risco de cada aplicação</w:t>
      </w:r>
      <w:r w:rsidRPr="00DE3690">
        <w:rPr>
          <w:rFonts w:asciiTheme="minorHAnsi" w:hAnsiTheme="minorHAnsi"/>
          <w:color w:val="auto"/>
        </w:rPr>
        <w:t>, de análise de produtos e fundos de investimentos de forma a dar subsidio ao comitê de investimentos nas tomadas de decisão, pela elaboração desta Política de Investimentos</w:t>
      </w:r>
      <w:r w:rsidR="00AB0B21" w:rsidRPr="00DE3690">
        <w:rPr>
          <w:rFonts w:asciiTheme="minorHAnsi" w:hAnsiTheme="minorHAnsi"/>
          <w:color w:val="auto"/>
        </w:rPr>
        <w:t xml:space="preserve">, bem como o atendimento presencial e telefônico para o acompanhamento do cenário econômico e de investimentos do </w:t>
      </w:r>
      <w:r w:rsidR="00646827" w:rsidRPr="00DE3690">
        <w:rPr>
          <w:rFonts w:asciiTheme="minorHAnsi" w:hAnsiTheme="minorHAnsi"/>
          <w:color w:val="auto"/>
        </w:rPr>
        <w:t>IPESMUC</w:t>
      </w:r>
      <w:r w:rsidR="00AB0B21" w:rsidRPr="00DE3690">
        <w:rPr>
          <w:rFonts w:asciiTheme="minorHAnsi" w:hAnsiTheme="minorHAnsi"/>
          <w:color w:val="auto"/>
        </w:rPr>
        <w:t>.</w:t>
      </w:r>
    </w:p>
    <w:p w:rsidR="00D15157" w:rsidRPr="00DE3690" w:rsidRDefault="00D15157" w:rsidP="00C30459">
      <w:pPr>
        <w:pStyle w:val="Ttulo1"/>
        <w:spacing w:before="0" w:after="0"/>
        <w:rPr>
          <w:rFonts w:asciiTheme="minorHAnsi" w:eastAsiaTheme="minorHAnsi" w:hAnsiTheme="minorHAnsi"/>
          <w:bCs w:val="0"/>
          <w:caps/>
          <w:kern w:val="0"/>
          <w:sz w:val="24"/>
          <w:szCs w:val="24"/>
          <w:lang w:val="pt-BR"/>
        </w:rPr>
      </w:pPr>
      <w:bookmarkStart w:id="8" w:name="_Toc284532288"/>
      <w:bookmarkStart w:id="9" w:name="_Toc308700348"/>
      <w:bookmarkStart w:id="10" w:name="_Toc525634175"/>
    </w:p>
    <w:p w:rsidR="004D4F6D" w:rsidRPr="00DE3690" w:rsidRDefault="00D91B71" w:rsidP="00C30459">
      <w:pPr>
        <w:pStyle w:val="Ttulo1"/>
        <w:spacing w:before="0" w:after="0"/>
        <w:rPr>
          <w:rFonts w:asciiTheme="minorHAnsi" w:eastAsiaTheme="minorHAnsi" w:hAnsiTheme="minorHAnsi"/>
          <w:bCs w:val="0"/>
          <w:caps/>
          <w:kern w:val="0"/>
          <w:sz w:val="24"/>
          <w:szCs w:val="24"/>
          <w:lang w:val="pt-BR"/>
        </w:rPr>
      </w:pPr>
      <w:r w:rsidRPr="00DE3690">
        <w:rPr>
          <w:rFonts w:asciiTheme="minorHAnsi" w:eastAsiaTheme="minorHAnsi" w:hAnsiTheme="minorHAnsi"/>
          <w:bCs w:val="0"/>
          <w:caps/>
          <w:kern w:val="0"/>
          <w:sz w:val="24"/>
          <w:szCs w:val="24"/>
          <w:lang w:val="pt-BR"/>
        </w:rPr>
        <w:t>III - PREMISSAS DE INVESTIMENTOS</w:t>
      </w:r>
      <w:bookmarkEnd w:id="8"/>
      <w:bookmarkEnd w:id="9"/>
      <w:bookmarkEnd w:id="10"/>
    </w:p>
    <w:p w:rsidR="004D4F6D" w:rsidRPr="00DE3690" w:rsidRDefault="004D4F6D" w:rsidP="00D15157">
      <w:pPr>
        <w:pStyle w:val="Ttulo2"/>
        <w:spacing w:before="0"/>
        <w:jc w:val="both"/>
        <w:rPr>
          <w:rFonts w:asciiTheme="minorHAnsi" w:eastAsiaTheme="minorHAnsi" w:hAnsiTheme="minorHAnsi" w:cs="Cambria"/>
          <w:b w:val="0"/>
          <w:i w:val="0"/>
          <w:szCs w:val="24"/>
          <w:lang w:val="pt-BR"/>
        </w:rPr>
      </w:pPr>
      <w:bookmarkStart w:id="11" w:name="_Toc284532289"/>
      <w:bookmarkStart w:id="12" w:name="_Toc525634176"/>
      <w:r w:rsidRPr="00DE3690">
        <w:rPr>
          <w:rFonts w:asciiTheme="minorHAnsi" w:hAnsiTheme="minorHAnsi"/>
          <w:i w:val="0"/>
          <w:szCs w:val="24"/>
          <w:lang w:val="pt-BR"/>
        </w:rPr>
        <w:t>Análise e Seleção de Ativos</w:t>
      </w:r>
      <w:bookmarkEnd w:id="11"/>
      <w:bookmarkEnd w:id="12"/>
      <w:r w:rsidR="00D15157" w:rsidRPr="00DE3690">
        <w:rPr>
          <w:rFonts w:asciiTheme="minorHAnsi" w:hAnsiTheme="minorHAnsi"/>
          <w:i w:val="0"/>
          <w:szCs w:val="24"/>
          <w:lang w:val="pt-BR"/>
        </w:rPr>
        <w:t xml:space="preserve">: </w:t>
      </w:r>
      <w:r w:rsidR="001640D9" w:rsidRPr="00DE3690">
        <w:rPr>
          <w:rFonts w:asciiTheme="minorHAnsi" w:eastAsiaTheme="minorHAnsi" w:hAnsiTheme="minorHAnsi" w:cs="Cambria"/>
          <w:b w:val="0"/>
          <w:i w:val="0"/>
          <w:szCs w:val="24"/>
          <w:lang w:val="pt-BR"/>
        </w:rPr>
        <w:t>O</w:t>
      </w:r>
      <w:r w:rsidRPr="00DE3690">
        <w:rPr>
          <w:rFonts w:asciiTheme="minorHAnsi" w:eastAsiaTheme="minorHAnsi" w:hAnsiTheme="minorHAnsi" w:cs="Cambria"/>
          <w:b w:val="0"/>
          <w:i w:val="0"/>
          <w:szCs w:val="24"/>
          <w:lang w:val="pt-BR"/>
        </w:rPr>
        <w:t xml:space="preserve"> processo de seleção de ativos </w:t>
      </w:r>
      <w:r w:rsidR="001640D9" w:rsidRPr="00DE3690">
        <w:rPr>
          <w:rFonts w:asciiTheme="minorHAnsi" w:eastAsiaTheme="minorHAnsi" w:hAnsiTheme="minorHAnsi" w:cs="Cambria"/>
          <w:b w:val="0"/>
          <w:i w:val="0"/>
          <w:szCs w:val="24"/>
          <w:lang w:val="pt-BR"/>
        </w:rPr>
        <w:t>deverá ser</w:t>
      </w:r>
      <w:r w:rsidRPr="00DE3690">
        <w:rPr>
          <w:rFonts w:asciiTheme="minorHAnsi" w:eastAsiaTheme="minorHAnsi" w:hAnsiTheme="minorHAnsi" w:cs="Cambria"/>
          <w:b w:val="0"/>
          <w:i w:val="0"/>
          <w:szCs w:val="24"/>
          <w:lang w:val="pt-BR"/>
        </w:rPr>
        <w:t xml:space="preserve"> baseado na análise de retorno e de risco apropriados. </w:t>
      </w:r>
      <w:r w:rsidR="00BD1CF6" w:rsidRPr="00DE3690">
        <w:rPr>
          <w:rFonts w:asciiTheme="minorHAnsi" w:eastAsiaTheme="minorHAnsi" w:hAnsiTheme="minorHAnsi" w:cs="Cambria"/>
          <w:b w:val="0"/>
          <w:i w:val="0"/>
          <w:szCs w:val="24"/>
          <w:lang w:val="pt-BR"/>
        </w:rPr>
        <w:t xml:space="preserve">Em finanças, retorno sobre investimento, também chamado taxa de retorno, taxa de lucro ou simplesmente retorno, é a relação entre a quantidade de dinheiro ganho (ou perdido) como resultado de um investimento e a quantidade de dinheiro investido. </w:t>
      </w:r>
      <w:r w:rsidR="0010122A" w:rsidRPr="00DE3690">
        <w:rPr>
          <w:rFonts w:asciiTheme="minorHAnsi" w:eastAsiaTheme="minorHAnsi" w:hAnsiTheme="minorHAnsi" w:cs="Cambria"/>
          <w:b w:val="0"/>
          <w:i w:val="0"/>
          <w:szCs w:val="24"/>
          <w:lang w:val="pt-BR"/>
        </w:rPr>
        <w:t xml:space="preserve">Também em finanças, o conceito de risco pode ser definido como a tentativa de se medir o grau de incerteza na obtenção do retorno esperado em uma determinada aplicação financeira ou investimento realizado. </w:t>
      </w:r>
      <w:r w:rsidR="00BD1CF6" w:rsidRPr="00DE3690">
        <w:rPr>
          <w:rFonts w:asciiTheme="minorHAnsi" w:eastAsiaTheme="minorHAnsi" w:hAnsiTheme="minorHAnsi" w:cs="Cambria"/>
          <w:b w:val="0"/>
          <w:i w:val="0"/>
          <w:szCs w:val="24"/>
          <w:lang w:val="pt-BR"/>
        </w:rPr>
        <w:t>Após</w:t>
      </w:r>
      <w:r w:rsidRPr="00DE3690">
        <w:rPr>
          <w:rFonts w:asciiTheme="minorHAnsi" w:eastAsiaTheme="minorHAnsi" w:hAnsiTheme="minorHAnsi" w:cs="Cambria"/>
          <w:b w:val="0"/>
          <w:i w:val="0"/>
          <w:szCs w:val="24"/>
          <w:lang w:val="pt-BR"/>
        </w:rPr>
        <w:t xml:space="preserve"> serem identificadas todas as oportunidades de investimento</w:t>
      </w:r>
      <w:r w:rsidR="001640D9" w:rsidRPr="00DE3690">
        <w:rPr>
          <w:rFonts w:asciiTheme="minorHAnsi" w:eastAsiaTheme="minorHAnsi" w:hAnsiTheme="minorHAnsi" w:cs="Cambria"/>
          <w:b w:val="0"/>
          <w:i w:val="0"/>
          <w:szCs w:val="24"/>
          <w:lang w:val="pt-BR"/>
        </w:rPr>
        <w:t xml:space="preserve">, </w:t>
      </w:r>
      <w:proofErr w:type="spellStart"/>
      <w:r w:rsidR="001640D9" w:rsidRPr="00DE3690">
        <w:rPr>
          <w:rFonts w:asciiTheme="minorHAnsi" w:eastAsiaTheme="minorHAnsi" w:hAnsiTheme="minorHAnsi" w:cs="Cambria"/>
          <w:b w:val="0"/>
          <w:i w:val="0"/>
          <w:szCs w:val="24"/>
          <w:lang w:val="pt-BR"/>
        </w:rPr>
        <w:t>essesdeverão</w:t>
      </w:r>
      <w:proofErr w:type="spellEnd"/>
      <w:r w:rsidR="001640D9" w:rsidRPr="00DE3690">
        <w:rPr>
          <w:rFonts w:asciiTheme="minorHAnsi" w:eastAsiaTheme="minorHAnsi" w:hAnsiTheme="minorHAnsi" w:cs="Cambria"/>
          <w:b w:val="0"/>
          <w:i w:val="0"/>
          <w:szCs w:val="24"/>
          <w:lang w:val="pt-BR"/>
        </w:rPr>
        <w:t xml:space="preserve"> ser </w:t>
      </w:r>
      <w:r w:rsidRPr="00DE3690">
        <w:rPr>
          <w:rFonts w:asciiTheme="minorHAnsi" w:eastAsiaTheme="minorHAnsi" w:hAnsiTheme="minorHAnsi" w:cs="Cambria"/>
          <w:b w:val="0"/>
          <w:i w:val="0"/>
          <w:szCs w:val="24"/>
          <w:lang w:val="pt-BR"/>
        </w:rPr>
        <w:t>discutid</w:t>
      </w:r>
      <w:r w:rsidR="001640D9" w:rsidRPr="00DE3690">
        <w:rPr>
          <w:rFonts w:asciiTheme="minorHAnsi" w:eastAsiaTheme="minorHAnsi" w:hAnsiTheme="minorHAnsi" w:cs="Cambria"/>
          <w:b w:val="0"/>
          <w:i w:val="0"/>
          <w:szCs w:val="24"/>
          <w:lang w:val="pt-BR"/>
        </w:rPr>
        <w:t>o</w:t>
      </w:r>
      <w:r w:rsidR="0010122A" w:rsidRPr="00DE3690">
        <w:rPr>
          <w:rFonts w:asciiTheme="minorHAnsi" w:eastAsiaTheme="minorHAnsi" w:hAnsiTheme="minorHAnsi" w:cs="Cambria"/>
          <w:b w:val="0"/>
          <w:i w:val="0"/>
          <w:szCs w:val="24"/>
          <w:lang w:val="pt-BR"/>
        </w:rPr>
        <w:t>s e aprovados</w:t>
      </w:r>
      <w:r w:rsidR="001640D9" w:rsidRPr="00DE3690">
        <w:rPr>
          <w:rFonts w:asciiTheme="minorHAnsi" w:eastAsiaTheme="minorHAnsi" w:hAnsiTheme="minorHAnsi" w:cs="Cambria"/>
          <w:b w:val="0"/>
          <w:i w:val="0"/>
          <w:szCs w:val="24"/>
          <w:lang w:val="pt-BR"/>
        </w:rPr>
        <w:t xml:space="preserve"> pelo comitê de investimentos.</w:t>
      </w:r>
    </w:p>
    <w:p w:rsidR="004D4F6D" w:rsidRPr="00DE3690" w:rsidRDefault="004D4F6D" w:rsidP="00D15157">
      <w:pPr>
        <w:pStyle w:val="NormalWeb"/>
        <w:spacing w:before="0" w:beforeAutospacing="0" w:after="0" w:afterAutospacing="0"/>
        <w:jc w:val="both"/>
        <w:rPr>
          <w:rFonts w:asciiTheme="minorHAnsi" w:eastAsiaTheme="minorHAnsi" w:hAnsiTheme="minorHAnsi" w:cs="Cambria"/>
          <w:lang w:eastAsia="en-US"/>
        </w:rPr>
      </w:pPr>
    </w:p>
    <w:p w:rsidR="00C70E0E" w:rsidRPr="00DE3690" w:rsidRDefault="004D4F6D" w:rsidP="00C30459">
      <w:pPr>
        <w:pStyle w:val="Ttulo2"/>
        <w:spacing w:before="0"/>
        <w:rPr>
          <w:rFonts w:asciiTheme="minorHAnsi" w:hAnsiTheme="minorHAnsi"/>
          <w:i w:val="0"/>
          <w:szCs w:val="24"/>
          <w:lang w:val="pt-BR"/>
        </w:rPr>
      </w:pPr>
      <w:bookmarkStart w:id="13" w:name="_Toc284532290"/>
      <w:bookmarkStart w:id="14" w:name="_Toc525634177"/>
      <w:r w:rsidRPr="00DE3690">
        <w:rPr>
          <w:rFonts w:asciiTheme="minorHAnsi" w:hAnsiTheme="minorHAnsi"/>
          <w:i w:val="0"/>
          <w:szCs w:val="24"/>
          <w:lang w:val="pt-BR"/>
        </w:rPr>
        <w:t>Gerenciamento de Risco</w:t>
      </w:r>
      <w:bookmarkEnd w:id="13"/>
      <w:bookmarkEnd w:id="14"/>
    </w:p>
    <w:p w:rsidR="00BD1CF6" w:rsidRPr="00DE3690" w:rsidRDefault="00BD1CF6" w:rsidP="00D15157">
      <w:pPr>
        <w:pStyle w:val="Ttulo3"/>
        <w:spacing w:before="0" w:after="0"/>
        <w:jc w:val="both"/>
        <w:rPr>
          <w:rFonts w:asciiTheme="minorHAnsi" w:hAnsiTheme="minorHAnsi"/>
          <w:b w:val="0"/>
          <w:szCs w:val="24"/>
          <w:lang w:val="pt-BR"/>
        </w:rPr>
      </w:pPr>
      <w:bookmarkStart w:id="15" w:name="_Toc525634178"/>
      <w:r w:rsidRPr="00DE3690">
        <w:rPr>
          <w:rFonts w:asciiTheme="minorHAnsi" w:hAnsiTheme="minorHAnsi"/>
          <w:szCs w:val="24"/>
          <w:lang w:val="pt-BR"/>
        </w:rPr>
        <w:t>Risco de Mercado</w:t>
      </w:r>
      <w:bookmarkEnd w:id="15"/>
      <w:r w:rsidR="00D15157" w:rsidRPr="00DE3690">
        <w:rPr>
          <w:rFonts w:asciiTheme="minorHAnsi" w:hAnsiTheme="minorHAnsi"/>
          <w:szCs w:val="24"/>
          <w:lang w:val="pt-BR"/>
        </w:rPr>
        <w:t xml:space="preserve">: </w:t>
      </w:r>
      <w:r w:rsidRPr="00DE3690">
        <w:rPr>
          <w:rFonts w:asciiTheme="minorHAnsi" w:hAnsiTheme="minorHAnsi"/>
          <w:b w:val="0"/>
          <w:szCs w:val="24"/>
          <w:lang w:val="pt-BR"/>
        </w:rPr>
        <w:t>Define-se como risco de mercado a possibilidade de ocorrência de perdas resultantes da flutuação nos valores de mercados de posições detidas em diferentes fatores de risco, de acordo com a posição dos ativos e derivativos financeiros geridos pela instituição. A administração de riscos de mercado da instituição envolve um conjunto integrado de controles e processos em consonância com as melhores práticas de mercado.</w:t>
      </w:r>
    </w:p>
    <w:p w:rsidR="00BD1CF6" w:rsidRPr="00DE3690" w:rsidRDefault="00BD1CF6" w:rsidP="00D15157">
      <w:pPr>
        <w:pStyle w:val="Default"/>
        <w:jc w:val="both"/>
        <w:rPr>
          <w:rFonts w:asciiTheme="minorHAnsi" w:hAnsiTheme="minorHAnsi"/>
          <w:color w:val="auto"/>
        </w:rPr>
      </w:pPr>
    </w:p>
    <w:p w:rsidR="00155D21" w:rsidRDefault="00155D21" w:rsidP="00D15157">
      <w:pPr>
        <w:pStyle w:val="Ttulo3"/>
        <w:spacing w:before="0" w:after="0"/>
        <w:jc w:val="both"/>
        <w:rPr>
          <w:rFonts w:asciiTheme="minorHAnsi" w:hAnsiTheme="minorHAnsi"/>
          <w:szCs w:val="24"/>
          <w:lang w:val="pt-BR"/>
        </w:rPr>
      </w:pPr>
      <w:bookmarkStart w:id="16" w:name="_Toc525634179"/>
    </w:p>
    <w:p w:rsidR="00155D21" w:rsidRDefault="00155D21" w:rsidP="00D15157">
      <w:pPr>
        <w:pStyle w:val="Ttulo3"/>
        <w:spacing w:before="0" w:after="0"/>
        <w:jc w:val="both"/>
        <w:rPr>
          <w:rFonts w:asciiTheme="minorHAnsi" w:hAnsiTheme="minorHAnsi"/>
          <w:szCs w:val="24"/>
          <w:lang w:val="pt-BR"/>
        </w:rPr>
      </w:pPr>
    </w:p>
    <w:p w:rsidR="00155D21" w:rsidRDefault="00155D21" w:rsidP="00D15157">
      <w:pPr>
        <w:pStyle w:val="Ttulo3"/>
        <w:spacing w:before="0" w:after="0"/>
        <w:jc w:val="both"/>
        <w:rPr>
          <w:rFonts w:asciiTheme="minorHAnsi" w:hAnsiTheme="minorHAnsi"/>
          <w:szCs w:val="24"/>
          <w:lang w:val="pt-BR"/>
        </w:rPr>
      </w:pPr>
    </w:p>
    <w:p w:rsidR="00155D21" w:rsidRDefault="00155D21" w:rsidP="00D15157">
      <w:pPr>
        <w:pStyle w:val="Ttulo3"/>
        <w:spacing w:before="0" w:after="0"/>
        <w:jc w:val="both"/>
        <w:rPr>
          <w:rFonts w:asciiTheme="minorHAnsi" w:hAnsiTheme="minorHAnsi"/>
          <w:szCs w:val="24"/>
          <w:lang w:val="pt-BR"/>
        </w:rPr>
      </w:pPr>
    </w:p>
    <w:p w:rsidR="00155D21" w:rsidRDefault="00155D21" w:rsidP="00D15157">
      <w:pPr>
        <w:pStyle w:val="Ttulo3"/>
        <w:spacing w:before="0" w:after="0"/>
        <w:jc w:val="both"/>
        <w:rPr>
          <w:rFonts w:asciiTheme="minorHAnsi" w:hAnsiTheme="minorHAnsi"/>
          <w:szCs w:val="24"/>
          <w:lang w:val="pt-BR"/>
        </w:rPr>
      </w:pPr>
    </w:p>
    <w:p w:rsidR="00BD1CF6" w:rsidRPr="00DE3690" w:rsidRDefault="00BD1CF6" w:rsidP="00D15157">
      <w:pPr>
        <w:pStyle w:val="Ttulo3"/>
        <w:spacing w:before="0" w:after="0"/>
        <w:jc w:val="both"/>
        <w:rPr>
          <w:rFonts w:asciiTheme="minorHAnsi" w:hAnsiTheme="minorHAnsi"/>
          <w:b w:val="0"/>
          <w:szCs w:val="24"/>
          <w:lang w:val="pt-BR"/>
        </w:rPr>
      </w:pPr>
      <w:r w:rsidRPr="00DE3690">
        <w:rPr>
          <w:rFonts w:asciiTheme="minorHAnsi" w:hAnsiTheme="minorHAnsi"/>
          <w:szCs w:val="24"/>
          <w:lang w:val="pt-BR"/>
        </w:rPr>
        <w:t>Risco de Crédito</w:t>
      </w:r>
      <w:bookmarkEnd w:id="16"/>
      <w:r w:rsidR="00D15157" w:rsidRPr="00DE3690">
        <w:rPr>
          <w:rFonts w:asciiTheme="minorHAnsi" w:hAnsiTheme="minorHAnsi"/>
          <w:szCs w:val="24"/>
          <w:lang w:val="pt-BR"/>
        </w:rPr>
        <w:t xml:space="preserve">: </w:t>
      </w:r>
      <w:r w:rsidR="00983C32" w:rsidRPr="00DE3690">
        <w:rPr>
          <w:rFonts w:asciiTheme="minorHAnsi" w:hAnsiTheme="minorHAnsi"/>
          <w:b w:val="0"/>
          <w:szCs w:val="24"/>
          <w:lang w:val="pt-BR"/>
        </w:rPr>
        <w:t>T</w:t>
      </w:r>
      <w:r w:rsidRPr="00DE3690">
        <w:rPr>
          <w:rFonts w:asciiTheme="minorHAnsi" w:hAnsiTheme="minorHAnsi"/>
          <w:b w:val="0"/>
          <w:szCs w:val="24"/>
          <w:lang w:val="pt-BR"/>
        </w:rPr>
        <w:t>rata da possibilidade de ocorrência de perdas associadas ao descumprimento de obrigações contratuais pactuadas, seja pelo tomador ou contraparte, considerando também, a desvalorização do contrato assumido, devido à maior exposição ao risco pelo tomador, à redução de ganhos ou remunerações, às vantagens concedidas na renegociação e aos custos de recuperação.</w:t>
      </w:r>
    </w:p>
    <w:p w:rsidR="00155D21" w:rsidRDefault="00155D21" w:rsidP="00155D21">
      <w:pPr>
        <w:pStyle w:val="Ttulo3"/>
        <w:spacing w:before="0" w:after="0"/>
        <w:jc w:val="both"/>
        <w:rPr>
          <w:rFonts w:asciiTheme="minorHAnsi" w:eastAsiaTheme="minorHAnsi" w:hAnsiTheme="minorHAnsi" w:cs="Cambria"/>
          <w:b w:val="0"/>
          <w:bCs w:val="0"/>
          <w:szCs w:val="24"/>
          <w:lang w:val="pt-BR"/>
        </w:rPr>
      </w:pPr>
      <w:bookmarkStart w:id="17" w:name="_Toc525634180"/>
    </w:p>
    <w:p w:rsidR="00155D21" w:rsidRDefault="00155D21" w:rsidP="00155D21">
      <w:pPr>
        <w:pStyle w:val="Ttulo3"/>
        <w:spacing w:before="0" w:after="0"/>
        <w:jc w:val="both"/>
        <w:rPr>
          <w:rFonts w:asciiTheme="minorHAnsi" w:hAnsiTheme="minorHAnsi"/>
          <w:b w:val="0"/>
          <w:szCs w:val="24"/>
          <w:lang w:val="pt-BR"/>
        </w:rPr>
      </w:pPr>
      <w:r w:rsidRPr="00DE3690">
        <w:rPr>
          <w:rFonts w:asciiTheme="minorHAnsi" w:hAnsiTheme="minorHAnsi"/>
          <w:szCs w:val="24"/>
          <w:lang w:val="pt-BR"/>
        </w:rPr>
        <w:t>Risco de Concentração</w:t>
      </w:r>
      <w:bookmarkEnd w:id="17"/>
      <w:r w:rsidRPr="00DE3690">
        <w:rPr>
          <w:rFonts w:asciiTheme="minorHAnsi" w:hAnsiTheme="minorHAnsi"/>
          <w:szCs w:val="24"/>
          <w:lang w:val="pt-BR"/>
        </w:rPr>
        <w:t xml:space="preserve">: </w:t>
      </w:r>
      <w:r w:rsidRPr="00DE3690">
        <w:rPr>
          <w:rFonts w:asciiTheme="minorHAnsi" w:hAnsiTheme="minorHAnsi"/>
          <w:b w:val="0"/>
          <w:szCs w:val="24"/>
          <w:lang w:val="pt-BR"/>
        </w:rPr>
        <w:t>Pode ser definido como o risco de perdas em decorrência da não-diversificação de risco de investimentos. Em outras palavras, é a concentração da carteira em títulos e valores mobiliários de um mesmo emissor.</w:t>
      </w:r>
    </w:p>
    <w:p w:rsidR="00155D21" w:rsidRPr="00DE3690" w:rsidRDefault="00155D21" w:rsidP="00155D21">
      <w:pPr>
        <w:pStyle w:val="Ttulo3"/>
        <w:spacing w:before="0" w:after="0"/>
        <w:jc w:val="both"/>
        <w:rPr>
          <w:rFonts w:asciiTheme="minorHAnsi" w:hAnsiTheme="minorHAnsi"/>
          <w:b w:val="0"/>
          <w:szCs w:val="24"/>
          <w:lang w:val="pt-BR"/>
        </w:rPr>
      </w:pPr>
      <w:r w:rsidRPr="00DE3690">
        <w:rPr>
          <w:rFonts w:asciiTheme="minorHAnsi" w:hAnsiTheme="minorHAnsi"/>
          <w:b w:val="0"/>
          <w:szCs w:val="24"/>
          <w:lang w:val="pt-BR"/>
        </w:rPr>
        <w:t xml:space="preserve"> Alterações da condição financeira e nas expectativas de desempenho do emissor; e alterações na capacidade competitiva do setor investido, podem, isolada ou cumulativamente, afetar adversamente o rendimento da carteira. </w:t>
      </w:r>
    </w:p>
    <w:p w:rsidR="00BD1CF6" w:rsidRPr="00DE3690" w:rsidRDefault="00BD1CF6" w:rsidP="00D15157">
      <w:pPr>
        <w:pStyle w:val="Default"/>
        <w:jc w:val="both"/>
        <w:rPr>
          <w:rFonts w:asciiTheme="minorHAnsi" w:hAnsiTheme="minorHAnsi"/>
          <w:color w:val="auto"/>
        </w:rPr>
      </w:pPr>
    </w:p>
    <w:p w:rsidR="00BD1CF6" w:rsidRPr="00DE3690" w:rsidRDefault="00BD1CF6" w:rsidP="00D15157">
      <w:pPr>
        <w:pStyle w:val="Ttulo3"/>
        <w:spacing w:before="0" w:after="0"/>
        <w:jc w:val="both"/>
        <w:rPr>
          <w:rFonts w:asciiTheme="minorHAnsi" w:hAnsiTheme="minorHAnsi"/>
          <w:b w:val="0"/>
          <w:szCs w:val="24"/>
          <w:lang w:val="pt-BR"/>
        </w:rPr>
      </w:pPr>
      <w:bookmarkStart w:id="18" w:name="_Toc525634181"/>
      <w:r w:rsidRPr="00DE3690">
        <w:rPr>
          <w:rFonts w:asciiTheme="minorHAnsi" w:hAnsiTheme="minorHAnsi"/>
          <w:szCs w:val="24"/>
          <w:lang w:val="pt-BR"/>
        </w:rPr>
        <w:t xml:space="preserve">Risco de </w:t>
      </w:r>
      <w:r w:rsidR="00D57A99" w:rsidRPr="00DE3690">
        <w:rPr>
          <w:rFonts w:asciiTheme="minorHAnsi" w:hAnsiTheme="minorHAnsi"/>
          <w:szCs w:val="24"/>
          <w:lang w:val="pt-BR"/>
        </w:rPr>
        <w:t>L</w:t>
      </w:r>
      <w:r w:rsidRPr="00DE3690">
        <w:rPr>
          <w:rFonts w:asciiTheme="minorHAnsi" w:hAnsiTheme="minorHAnsi"/>
          <w:szCs w:val="24"/>
          <w:lang w:val="pt-BR"/>
        </w:rPr>
        <w:t>iquidez</w:t>
      </w:r>
      <w:bookmarkEnd w:id="18"/>
      <w:r w:rsidR="00D15157" w:rsidRPr="00DE3690">
        <w:rPr>
          <w:rFonts w:asciiTheme="minorHAnsi" w:hAnsiTheme="minorHAnsi"/>
          <w:szCs w:val="24"/>
          <w:lang w:val="pt-BR"/>
        </w:rPr>
        <w:t xml:space="preserve">: </w:t>
      </w:r>
      <w:r w:rsidR="00983C32" w:rsidRPr="00DE3690">
        <w:rPr>
          <w:rFonts w:asciiTheme="minorHAnsi" w:hAnsiTheme="minorHAnsi"/>
          <w:b w:val="0"/>
          <w:szCs w:val="24"/>
          <w:lang w:val="pt-BR"/>
        </w:rPr>
        <w:t>E</w:t>
      </w:r>
      <w:r w:rsidRPr="00DE3690">
        <w:rPr>
          <w:rFonts w:asciiTheme="minorHAnsi" w:hAnsiTheme="minorHAnsi"/>
          <w:b w:val="0"/>
          <w:szCs w:val="24"/>
          <w:lang w:val="pt-BR"/>
        </w:rPr>
        <w:t>ste tipo de risco de liquidez decorre da falta de recursos (aplicação em títulos e outros valores mobiliários) necessários para o cumprimento de uma ou mais obrigações (resgate de obrigações). Também chamado de descasamentos entre pagamentos e recebimentos que possam afetar a capacidade de cumprimento de uma ou mais obrigações.</w:t>
      </w:r>
    </w:p>
    <w:p w:rsidR="00FC7E15" w:rsidRPr="00DE3690" w:rsidRDefault="00FC7E15" w:rsidP="00D15157">
      <w:pPr>
        <w:pStyle w:val="Default"/>
        <w:jc w:val="both"/>
        <w:rPr>
          <w:rFonts w:asciiTheme="minorHAnsi" w:hAnsiTheme="minorHAnsi"/>
          <w:color w:val="auto"/>
        </w:rPr>
      </w:pPr>
    </w:p>
    <w:p w:rsidR="00FC7E15" w:rsidRPr="00DE3690" w:rsidRDefault="00FC7E15" w:rsidP="00D15157">
      <w:pPr>
        <w:pStyle w:val="Ttulo2"/>
        <w:spacing w:before="0"/>
        <w:jc w:val="both"/>
        <w:rPr>
          <w:rFonts w:asciiTheme="minorHAnsi" w:hAnsiTheme="minorHAnsi"/>
          <w:b w:val="0"/>
          <w:i w:val="0"/>
          <w:szCs w:val="24"/>
          <w:lang w:val="pt-BR"/>
        </w:rPr>
      </w:pPr>
      <w:bookmarkStart w:id="19" w:name="_Toc525634182"/>
      <w:r w:rsidRPr="00DE3690">
        <w:rPr>
          <w:rFonts w:asciiTheme="minorHAnsi" w:hAnsiTheme="minorHAnsi"/>
          <w:i w:val="0"/>
          <w:szCs w:val="24"/>
          <w:lang w:val="pt-BR"/>
        </w:rPr>
        <w:t>Fundos de Investimentos em Cotas de Fundos (FIC)</w:t>
      </w:r>
      <w:bookmarkEnd w:id="19"/>
      <w:r w:rsidR="00D15157" w:rsidRPr="00DE3690">
        <w:rPr>
          <w:rFonts w:asciiTheme="minorHAnsi" w:hAnsiTheme="minorHAnsi"/>
          <w:i w:val="0"/>
          <w:szCs w:val="24"/>
          <w:lang w:val="pt-BR"/>
        </w:rPr>
        <w:t xml:space="preserve">: </w:t>
      </w:r>
      <w:r w:rsidRPr="00DE3690">
        <w:rPr>
          <w:rFonts w:asciiTheme="minorHAnsi" w:hAnsiTheme="minorHAnsi"/>
          <w:b w:val="0"/>
          <w:i w:val="0"/>
          <w:szCs w:val="24"/>
          <w:lang w:val="pt-BR"/>
        </w:rPr>
        <w:t xml:space="preserve">O </w:t>
      </w:r>
      <w:r w:rsidR="00646827" w:rsidRPr="00DE3690">
        <w:rPr>
          <w:rFonts w:asciiTheme="minorHAnsi" w:hAnsiTheme="minorHAnsi"/>
          <w:b w:val="0"/>
          <w:i w:val="0"/>
          <w:szCs w:val="24"/>
          <w:lang w:val="pt-BR"/>
        </w:rPr>
        <w:t>IPESMUC</w:t>
      </w:r>
      <w:r w:rsidRPr="00DE3690">
        <w:rPr>
          <w:rFonts w:asciiTheme="minorHAnsi" w:hAnsiTheme="minorHAnsi"/>
          <w:b w:val="0"/>
          <w:i w:val="0"/>
          <w:szCs w:val="24"/>
          <w:lang w:val="pt-BR"/>
        </w:rPr>
        <w:t xml:space="preserve"> poderá aplicar em </w:t>
      </w:r>
      <w:r w:rsidR="00476A2D" w:rsidRPr="00DE3690">
        <w:rPr>
          <w:rFonts w:asciiTheme="minorHAnsi" w:hAnsiTheme="minorHAnsi"/>
          <w:b w:val="0"/>
          <w:i w:val="0"/>
          <w:szCs w:val="24"/>
          <w:lang w:val="pt-BR"/>
        </w:rPr>
        <w:t xml:space="preserve">Fundos de Investimento em Cotas de Fundos de Investimento, ou seja, fundos que aplicam em outros fundos. No entanto, os fundos investidos deverão também atender aos dispositivos legais da Res. CMN nº 3.922/10 consolidada, como demostra o seu </w:t>
      </w:r>
      <w:r w:rsidRPr="00DE3690">
        <w:rPr>
          <w:rFonts w:asciiTheme="minorHAnsi" w:hAnsiTheme="minorHAnsi"/>
          <w:b w:val="0"/>
          <w:i w:val="0"/>
          <w:szCs w:val="24"/>
          <w:lang w:val="pt-BR"/>
        </w:rPr>
        <w:t>Art. 12.</w:t>
      </w:r>
      <w:r w:rsidR="00476A2D" w:rsidRPr="00DE3690">
        <w:rPr>
          <w:rFonts w:asciiTheme="minorHAnsi" w:hAnsiTheme="minorHAnsi"/>
          <w:b w:val="0"/>
          <w:i w:val="0"/>
          <w:szCs w:val="24"/>
          <w:lang w:val="pt-BR"/>
        </w:rPr>
        <w:t>, no qual “</w:t>
      </w:r>
      <w:r w:rsidRPr="00DE3690">
        <w:rPr>
          <w:rFonts w:asciiTheme="minorHAnsi" w:hAnsiTheme="minorHAnsi"/>
          <w:b w:val="0"/>
          <w:i w:val="0"/>
          <w:szCs w:val="24"/>
          <w:lang w:val="pt-BR"/>
        </w:rPr>
        <w:t>As aplicações dos regimes próprios de previdência social em fundos de investimento em cotas de fundos de investimento serão admitidas desde que seja possível identificar e demonstrar que os respectivos fundos mantenham as composições, limites e garantias exigidas para os fundos de investimento de que trata esta Resolução.</w:t>
      </w:r>
      <w:r w:rsidR="00476A2D" w:rsidRPr="00DE3690">
        <w:rPr>
          <w:rFonts w:asciiTheme="minorHAnsi" w:hAnsiTheme="minorHAnsi"/>
          <w:b w:val="0"/>
          <w:i w:val="0"/>
          <w:szCs w:val="24"/>
          <w:lang w:val="pt-BR"/>
        </w:rPr>
        <w:t>”</w:t>
      </w:r>
    </w:p>
    <w:p w:rsidR="00FC7E15" w:rsidRPr="00DE3690" w:rsidRDefault="00FC7E15" w:rsidP="00C30459">
      <w:pPr>
        <w:pStyle w:val="Default"/>
        <w:jc w:val="both"/>
        <w:rPr>
          <w:rFonts w:asciiTheme="minorHAnsi" w:hAnsiTheme="minorHAnsi"/>
          <w:color w:val="auto"/>
        </w:rPr>
      </w:pPr>
    </w:p>
    <w:p w:rsidR="00FC7E15" w:rsidRPr="00DE3690" w:rsidRDefault="001A74AB" w:rsidP="00D15157">
      <w:pPr>
        <w:pStyle w:val="Ttulo2"/>
        <w:spacing w:before="0"/>
        <w:jc w:val="both"/>
        <w:rPr>
          <w:rFonts w:asciiTheme="minorHAnsi" w:hAnsiTheme="minorHAnsi"/>
          <w:b w:val="0"/>
          <w:i w:val="0"/>
          <w:szCs w:val="24"/>
          <w:lang w:val="pt-BR"/>
        </w:rPr>
      </w:pPr>
      <w:bookmarkStart w:id="20" w:name="_Toc525634183"/>
      <w:r w:rsidRPr="00DE3690">
        <w:rPr>
          <w:rFonts w:asciiTheme="minorHAnsi" w:hAnsiTheme="minorHAnsi"/>
          <w:i w:val="0"/>
          <w:szCs w:val="24"/>
          <w:lang w:val="pt-BR"/>
        </w:rPr>
        <w:t>Fundo Garantidor de Créditos (FGC)</w:t>
      </w:r>
      <w:bookmarkEnd w:id="20"/>
      <w:r w:rsidR="00D15157" w:rsidRPr="00DE3690">
        <w:rPr>
          <w:rFonts w:asciiTheme="minorHAnsi" w:hAnsiTheme="minorHAnsi"/>
          <w:i w:val="0"/>
          <w:szCs w:val="24"/>
          <w:lang w:val="pt-BR"/>
        </w:rPr>
        <w:t xml:space="preserve">: </w:t>
      </w:r>
      <w:r w:rsidRPr="00DE3690">
        <w:rPr>
          <w:rFonts w:asciiTheme="minorHAnsi" w:hAnsiTheme="minorHAnsi"/>
          <w:b w:val="0"/>
          <w:i w:val="0"/>
          <w:szCs w:val="24"/>
          <w:lang w:val="pt-BR"/>
        </w:rPr>
        <w:t>O FGC é uma instituição que, dentre as suas demais atribuições, garante contra perdas um determinado valor em crédito. O total de créditos de cada pessoa contra a mesma instituição associada, ou contra todas as instituições associadas do mesmo conglomerado financeiro, será garantido até o valor de R$ 250.000,00 (duzentos e cinquenta mil reais), limitado ao saldo existente, sendo que a sua cobertura total (soma de todas as aplicações em instituições financeiras distintas), será garantido até o valor de R$ 1.000.000,00 (um milhão de reais). Essas garantidas somente valem para aplicações diretas em instituições financeiras, sendo que os fundos de investimentos (instrumento de investimento mais comum para alocação pelos RPPS) não possuem garantias pelo FGC.</w:t>
      </w:r>
    </w:p>
    <w:p w:rsidR="001A74AB" w:rsidRPr="00DE3690" w:rsidRDefault="001A74AB" w:rsidP="00D15157">
      <w:pPr>
        <w:pStyle w:val="Default"/>
        <w:jc w:val="both"/>
        <w:rPr>
          <w:rFonts w:asciiTheme="minorHAnsi" w:hAnsiTheme="minorHAnsi"/>
          <w:color w:val="auto"/>
        </w:rPr>
      </w:pPr>
    </w:p>
    <w:p w:rsidR="00292BAE" w:rsidRPr="00DE3690" w:rsidRDefault="00B06EEB" w:rsidP="00C30459">
      <w:pPr>
        <w:pStyle w:val="Ttulo1"/>
        <w:spacing w:before="0" w:after="0"/>
        <w:rPr>
          <w:rFonts w:asciiTheme="minorHAnsi" w:eastAsiaTheme="minorHAnsi" w:hAnsiTheme="minorHAnsi"/>
          <w:bCs w:val="0"/>
          <w:caps/>
          <w:kern w:val="0"/>
          <w:sz w:val="24"/>
          <w:szCs w:val="24"/>
          <w:lang w:val="pt-BR"/>
        </w:rPr>
      </w:pPr>
      <w:bookmarkStart w:id="21" w:name="_Toc525634184"/>
      <w:r w:rsidRPr="00DE3690">
        <w:rPr>
          <w:rFonts w:asciiTheme="minorHAnsi" w:eastAsiaTheme="minorHAnsi" w:hAnsiTheme="minorHAnsi"/>
          <w:bCs w:val="0"/>
          <w:caps/>
          <w:kern w:val="0"/>
          <w:sz w:val="24"/>
          <w:szCs w:val="24"/>
          <w:lang w:val="pt-BR"/>
        </w:rPr>
        <w:t xml:space="preserve">IV - </w:t>
      </w:r>
      <w:r w:rsidR="00292BAE" w:rsidRPr="00DE3690">
        <w:rPr>
          <w:rFonts w:asciiTheme="minorHAnsi" w:eastAsiaTheme="minorHAnsi" w:hAnsiTheme="minorHAnsi"/>
          <w:bCs w:val="0"/>
          <w:caps/>
          <w:kern w:val="0"/>
          <w:sz w:val="24"/>
          <w:szCs w:val="24"/>
          <w:lang w:val="pt-BR"/>
        </w:rPr>
        <w:t>CLASSES DE INVESTIMENTOS</w:t>
      </w:r>
      <w:bookmarkEnd w:id="21"/>
    </w:p>
    <w:p w:rsidR="00F1083F" w:rsidRPr="00DE3690" w:rsidRDefault="00C6628B" w:rsidP="00C30459">
      <w:pPr>
        <w:pStyle w:val="Default"/>
        <w:jc w:val="both"/>
        <w:rPr>
          <w:rFonts w:asciiTheme="minorHAnsi" w:hAnsiTheme="minorHAnsi"/>
          <w:color w:val="auto"/>
        </w:rPr>
      </w:pPr>
      <w:r w:rsidRPr="00DE3690">
        <w:rPr>
          <w:rFonts w:asciiTheme="minorHAnsi" w:hAnsiTheme="minorHAnsi"/>
          <w:color w:val="auto"/>
        </w:rPr>
        <w:t xml:space="preserve">A legislação traz em seu contexto principal, os limites de alocação diferentes tipos de ativos, de acordo com as classificações dos Art. 8º e 9º da Res. CMN 3.922/10 e suas alterações. </w:t>
      </w:r>
      <w:r w:rsidR="00983C32" w:rsidRPr="00DE3690">
        <w:rPr>
          <w:rFonts w:asciiTheme="minorHAnsi" w:hAnsiTheme="minorHAnsi"/>
          <w:color w:val="auto"/>
        </w:rPr>
        <w:t>Esta política não despreza a classificação legal, mas moderniza a</w:t>
      </w:r>
      <w:r w:rsidRPr="00DE3690">
        <w:rPr>
          <w:rFonts w:asciiTheme="minorHAnsi" w:hAnsiTheme="minorHAnsi"/>
          <w:color w:val="auto"/>
        </w:rPr>
        <w:t xml:space="preserve"> classificação desses investimentos</w:t>
      </w:r>
      <w:r w:rsidR="00983C32" w:rsidRPr="00DE3690">
        <w:rPr>
          <w:rFonts w:asciiTheme="minorHAnsi" w:hAnsiTheme="minorHAnsi"/>
          <w:color w:val="auto"/>
        </w:rPr>
        <w:t xml:space="preserve"> para que se possa efetuar a</w:t>
      </w:r>
      <w:r w:rsidRPr="00DE3690">
        <w:rPr>
          <w:rFonts w:asciiTheme="minorHAnsi" w:hAnsiTheme="minorHAnsi"/>
          <w:color w:val="auto"/>
        </w:rPr>
        <w:t xml:space="preserve"> análise e perfil de retorno e risco desses investimentos</w:t>
      </w:r>
      <w:r w:rsidR="00983C32" w:rsidRPr="00DE3690">
        <w:rPr>
          <w:rFonts w:asciiTheme="minorHAnsi" w:hAnsiTheme="minorHAnsi"/>
          <w:color w:val="auto"/>
        </w:rPr>
        <w:t xml:space="preserve"> com maior discernimento e racionalidade</w:t>
      </w:r>
      <w:r w:rsidRPr="00DE3690">
        <w:rPr>
          <w:rFonts w:asciiTheme="minorHAnsi" w:hAnsiTheme="minorHAnsi"/>
          <w:color w:val="auto"/>
        </w:rPr>
        <w:t xml:space="preserve">. Por este motivo, o </w:t>
      </w:r>
      <w:r w:rsidR="00646827" w:rsidRPr="00DE3690">
        <w:rPr>
          <w:rFonts w:asciiTheme="minorHAnsi" w:hAnsiTheme="minorHAnsi"/>
          <w:color w:val="auto"/>
        </w:rPr>
        <w:t>IPESMUC</w:t>
      </w:r>
      <w:r w:rsidRPr="00DE3690">
        <w:rPr>
          <w:rFonts w:asciiTheme="minorHAnsi" w:hAnsiTheme="minorHAnsi"/>
          <w:color w:val="auto"/>
        </w:rPr>
        <w:t xml:space="preserve"> adotou uma matriz de investimentos, reclassificando esses investimentos em </w:t>
      </w:r>
      <w:r w:rsidR="00983C32" w:rsidRPr="00DE3690">
        <w:rPr>
          <w:rFonts w:asciiTheme="minorHAnsi" w:hAnsiTheme="minorHAnsi"/>
          <w:color w:val="auto"/>
        </w:rPr>
        <w:t>4</w:t>
      </w:r>
      <w:r w:rsidRPr="00DE3690">
        <w:rPr>
          <w:rFonts w:asciiTheme="minorHAnsi" w:hAnsiTheme="minorHAnsi"/>
          <w:color w:val="auto"/>
        </w:rPr>
        <w:t xml:space="preserve"> principais classes, das quais são derivadas as demais, sendo: </w:t>
      </w: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F1083F" w:rsidRPr="00DE3690" w:rsidRDefault="00F1083F" w:rsidP="00C30459">
      <w:pPr>
        <w:pStyle w:val="Default"/>
        <w:jc w:val="both"/>
        <w:rPr>
          <w:rFonts w:asciiTheme="minorHAnsi" w:hAnsiTheme="minorHAnsi"/>
          <w:color w:val="auto"/>
        </w:rPr>
      </w:pPr>
      <w:r w:rsidRPr="00DE3690">
        <w:rPr>
          <w:rFonts w:asciiTheme="minorHAnsi" w:hAnsiTheme="minorHAnsi"/>
          <w:color w:val="auto"/>
        </w:rPr>
        <w:t>a</w:t>
      </w:r>
      <w:r w:rsidR="00C6628B" w:rsidRPr="00DE3690">
        <w:rPr>
          <w:rFonts w:asciiTheme="minorHAnsi" w:hAnsiTheme="minorHAnsi"/>
          <w:color w:val="auto"/>
        </w:rPr>
        <w:t xml:space="preserve">) Títulos Públicos – Fundos de Investimento em Renda Fixa (FIRF) Títulos Públicos, </w:t>
      </w:r>
    </w:p>
    <w:p w:rsidR="00F1083F" w:rsidRPr="00DE3690" w:rsidRDefault="00F1083F" w:rsidP="00C30459">
      <w:pPr>
        <w:pStyle w:val="Default"/>
        <w:jc w:val="both"/>
        <w:rPr>
          <w:rFonts w:asciiTheme="minorHAnsi" w:hAnsiTheme="minorHAnsi"/>
          <w:color w:val="auto"/>
        </w:rPr>
      </w:pPr>
      <w:r w:rsidRPr="00DE3690">
        <w:rPr>
          <w:rFonts w:asciiTheme="minorHAnsi" w:hAnsiTheme="minorHAnsi"/>
          <w:color w:val="auto"/>
        </w:rPr>
        <w:t>b</w:t>
      </w:r>
      <w:r w:rsidR="00C6628B" w:rsidRPr="00DE3690">
        <w:rPr>
          <w:rFonts w:asciiTheme="minorHAnsi" w:hAnsiTheme="minorHAnsi"/>
          <w:color w:val="auto"/>
        </w:rPr>
        <w:t xml:space="preserve">) Títulos Privados – Fundos de Renda Fixa em Índice de Mercado </w:t>
      </w:r>
      <w:proofErr w:type="spellStart"/>
      <w:r w:rsidR="00C6628B" w:rsidRPr="00DE3690">
        <w:rPr>
          <w:rFonts w:asciiTheme="minorHAnsi" w:hAnsiTheme="minorHAnsi"/>
          <w:color w:val="auto"/>
        </w:rPr>
        <w:t>Anbima</w:t>
      </w:r>
      <w:proofErr w:type="spellEnd"/>
      <w:r w:rsidR="00C6628B" w:rsidRPr="00DE3690">
        <w:rPr>
          <w:rFonts w:asciiTheme="minorHAnsi" w:hAnsiTheme="minorHAnsi"/>
          <w:color w:val="auto"/>
        </w:rPr>
        <w:t xml:space="preserve"> (IMA) 100% Títulos Públicos, </w:t>
      </w:r>
    </w:p>
    <w:p w:rsidR="00F1083F" w:rsidRPr="00DE3690" w:rsidRDefault="00F1083F" w:rsidP="00C30459">
      <w:pPr>
        <w:pStyle w:val="Default"/>
        <w:jc w:val="both"/>
        <w:rPr>
          <w:rFonts w:asciiTheme="minorHAnsi" w:hAnsiTheme="minorHAnsi"/>
          <w:color w:val="auto"/>
        </w:rPr>
      </w:pPr>
      <w:r w:rsidRPr="00DE3690">
        <w:rPr>
          <w:rFonts w:asciiTheme="minorHAnsi" w:hAnsiTheme="minorHAnsi"/>
          <w:color w:val="auto"/>
        </w:rPr>
        <w:t>c</w:t>
      </w:r>
      <w:r w:rsidR="00C6628B" w:rsidRPr="00DE3690">
        <w:rPr>
          <w:rFonts w:asciiTheme="minorHAnsi" w:hAnsiTheme="minorHAnsi"/>
          <w:color w:val="auto"/>
        </w:rPr>
        <w:t xml:space="preserve">) Renda Variável – Fundos de Ações e Multimercados e </w:t>
      </w:r>
    </w:p>
    <w:p w:rsidR="00F1083F" w:rsidRPr="00DE3690" w:rsidRDefault="00F1083F" w:rsidP="00C30459">
      <w:pPr>
        <w:pStyle w:val="Default"/>
        <w:jc w:val="both"/>
        <w:rPr>
          <w:rFonts w:asciiTheme="minorHAnsi" w:hAnsiTheme="minorHAnsi"/>
          <w:color w:val="auto"/>
        </w:rPr>
      </w:pPr>
      <w:r w:rsidRPr="00DE3690">
        <w:rPr>
          <w:rFonts w:asciiTheme="minorHAnsi" w:hAnsiTheme="minorHAnsi"/>
          <w:color w:val="auto"/>
        </w:rPr>
        <w:t>d</w:t>
      </w:r>
      <w:r w:rsidR="00C6628B" w:rsidRPr="00DE3690">
        <w:rPr>
          <w:rFonts w:asciiTheme="minorHAnsi" w:hAnsiTheme="minorHAnsi"/>
          <w:color w:val="auto"/>
        </w:rPr>
        <w:t xml:space="preserve">) Estruturados – Imobiliários e Participações. </w:t>
      </w:r>
    </w:p>
    <w:p w:rsidR="00F1083F" w:rsidRPr="00DE3690" w:rsidRDefault="00F1083F" w:rsidP="00C30459">
      <w:pPr>
        <w:pStyle w:val="Default"/>
        <w:jc w:val="both"/>
        <w:rPr>
          <w:rFonts w:asciiTheme="minorHAnsi" w:hAnsiTheme="minorHAnsi"/>
          <w:color w:val="auto"/>
        </w:rPr>
      </w:pPr>
    </w:p>
    <w:p w:rsidR="00C6628B" w:rsidRPr="00DE3690" w:rsidRDefault="00C6628B" w:rsidP="00C30459">
      <w:pPr>
        <w:pStyle w:val="Default"/>
        <w:jc w:val="both"/>
        <w:rPr>
          <w:rFonts w:asciiTheme="minorHAnsi" w:hAnsiTheme="minorHAnsi"/>
          <w:color w:val="auto"/>
        </w:rPr>
      </w:pPr>
      <w:r w:rsidRPr="00DE3690">
        <w:rPr>
          <w:rFonts w:asciiTheme="minorHAnsi" w:hAnsiTheme="minorHAnsi"/>
          <w:color w:val="auto"/>
        </w:rPr>
        <w:t>Dentro dessas classes, cada uma ainda é dividida em subclasses, de forma a identificarmos as principais características de cada uma.</w:t>
      </w:r>
    </w:p>
    <w:p w:rsidR="00C6628B" w:rsidRPr="00DE3690" w:rsidRDefault="00F1083F" w:rsidP="00F1083F">
      <w:pPr>
        <w:pStyle w:val="Default"/>
        <w:jc w:val="both"/>
        <w:rPr>
          <w:rFonts w:asciiTheme="minorHAnsi" w:hAnsiTheme="minorHAnsi"/>
          <w:color w:val="auto"/>
        </w:rPr>
      </w:pPr>
      <w:r w:rsidRPr="00DE3690">
        <w:rPr>
          <w:rFonts w:asciiTheme="minorHAnsi" w:hAnsiTheme="minorHAnsi"/>
          <w:b/>
          <w:color w:val="auto"/>
        </w:rPr>
        <w:t xml:space="preserve">a) </w:t>
      </w:r>
      <w:r w:rsidR="00C6628B" w:rsidRPr="00DE3690">
        <w:rPr>
          <w:rFonts w:asciiTheme="minorHAnsi" w:hAnsiTheme="minorHAnsi"/>
          <w:b/>
          <w:color w:val="auto"/>
        </w:rPr>
        <w:t>Títulos Públicos - Fundos Renda Fixa Títulos Públicos</w:t>
      </w:r>
      <w:r w:rsidR="008710C7" w:rsidRPr="00DE3690">
        <w:rPr>
          <w:rFonts w:asciiTheme="minorHAnsi" w:hAnsiTheme="minorHAnsi"/>
          <w:color w:val="auto"/>
        </w:rPr>
        <w:t xml:space="preserve">: a.1) </w:t>
      </w:r>
      <w:r w:rsidR="00C6628B" w:rsidRPr="00DE3690">
        <w:rPr>
          <w:rFonts w:asciiTheme="minorHAnsi" w:hAnsiTheme="minorHAnsi"/>
          <w:color w:val="auto"/>
        </w:rPr>
        <w:t>Títulos Públicos</w:t>
      </w:r>
      <w:r w:rsidR="008710C7" w:rsidRPr="00DE3690">
        <w:rPr>
          <w:rFonts w:asciiTheme="minorHAnsi" w:hAnsiTheme="minorHAnsi"/>
          <w:color w:val="auto"/>
        </w:rPr>
        <w:t xml:space="preserve"> e a.2) </w:t>
      </w:r>
      <w:r w:rsidR="00C6628B" w:rsidRPr="00DE3690">
        <w:rPr>
          <w:rFonts w:asciiTheme="minorHAnsi" w:hAnsiTheme="minorHAnsi"/>
          <w:color w:val="auto"/>
        </w:rPr>
        <w:t>Fundos de Índice de Renda Fixa 100% Títulos Públicos</w:t>
      </w:r>
    </w:p>
    <w:p w:rsidR="00945DAD" w:rsidRPr="00DE3690" w:rsidRDefault="00F1083F" w:rsidP="00F1083F">
      <w:pPr>
        <w:pStyle w:val="Default"/>
        <w:jc w:val="both"/>
        <w:rPr>
          <w:rFonts w:asciiTheme="minorHAnsi" w:hAnsiTheme="minorHAnsi"/>
          <w:color w:val="auto"/>
        </w:rPr>
      </w:pPr>
      <w:r w:rsidRPr="00DE3690">
        <w:rPr>
          <w:rFonts w:asciiTheme="minorHAnsi" w:hAnsiTheme="minorHAnsi"/>
          <w:b/>
          <w:color w:val="auto"/>
        </w:rPr>
        <w:t xml:space="preserve">b) </w:t>
      </w:r>
      <w:r w:rsidR="00945DAD" w:rsidRPr="00DE3690">
        <w:rPr>
          <w:rFonts w:asciiTheme="minorHAnsi" w:hAnsiTheme="minorHAnsi"/>
          <w:b/>
          <w:color w:val="auto"/>
        </w:rPr>
        <w:t>Títulos Privados - Fundos Renda Fixa Crédito Privado:</w:t>
      </w:r>
      <w:r w:rsidR="00945DAD" w:rsidRPr="00DE3690">
        <w:rPr>
          <w:rFonts w:asciiTheme="minorHAnsi" w:hAnsiTheme="minorHAnsi"/>
          <w:color w:val="auto"/>
        </w:rPr>
        <w:t xml:space="preserve"> b.1) Títulos Privados</w:t>
      </w:r>
      <w:r w:rsidRPr="00DE3690">
        <w:rPr>
          <w:rFonts w:asciiTheme="minorHAnsi" w:hAnsiTheme="minorHAnsi"/>
          <w:color w:val="auto"/>
        </w:rPr>
        <w:t xml:space="preserve">; </w:t>
      </w:r>
      <w:r w:rsidR="00945DAD" w:rsidRPr="00DE3690">
        <w:rPr>
          <w:rFonts w:asciiTheme="minorHAnsi" w:hAnsiTheme="minorHAnsi"/>
          <w:color w:val="auto"/>
        </w:rPr>
        <w:t>b.2) Fundos de Renda Fixa Abertos, b.3) Fundos de Renda Fixa Crédito Privado, b.4) FI Direitos Creditórios e b.5) FI em Debêntures de Infraestrutura</w:t>
      </w:r>
    </w:p>
    <w:p w:rsidR="00C6628B" w:rsidRPr="00DE3690" w:rsidRDefault="00F1083F" w:rsidP="00F1083F">
      <w:pPr>
        <w:pStyle w:val="Default"/>
        <w:jc w:val="both"/>
        <w:rPr>
          <w:rFonts w:asciiTheme="minorHAnsi" w:hAnsiTheme="minorHAnsi"/>
          <w:color w:val="auto"/>
        </w:rPr>
      </w:pPr>
      <w:r w:rsidRPr="00DE3690">
        <w:rPr>
          <w:rFonts w:asciiTheme="minorHAnsi" w:hAnsiTheme="minorHAnsi"/>
          <w:b/>
          <w:color w:val="auto"/>
        </w:rPr>
        <w:t xml:space="preserve">c) </w:t>
      </w:r>
      <w:r w:rsidR="00C6628B" w:rsidRPr="00DE3690">
        <w:rPr>
          <w:rFonts w:asciiTheme="minorHAnsi" w:hAnsiTheme="minorHAnsi"/>
          <w:b/>
          <w:color w:val="auto"/>
        </w:rPr>
        <w:t>Renda Variável – Fundos de Ações e Multimercados</w:t>
      </w:r>
      <w:r w:rsidR="008710C7" w:rsidRPr="00DE3690">
        <w:rPr>
          <w:rFonts w:asciiTheme="minorHAnsi" w:hAnsiTheme="minorHAnsi"/>
          <w:color w:val="auto"/>
        </w:rPr>
        <w:t xml:space="preserve">: c.1) </w:t>
      </w:r>
      <w:r w:rsidR="00C6628B" w:rsidRPr="00DE3690">
        <w:rPr>
          <w:rFonts w:asciiTheme="minorHAnsi" w:hAnsiTheme="minorHAnsi"/>
          <w:color w:val="auto"/>
        </w:rPr>
        <w:t>Fundos de Índice de Ações ou Referenciados</w:t>
      </w:r>
      <w:r w:rsidR="008710C7" w:rsidRPr="00DE3690">
        <w:rPr>
          <w:rFonts w:asciiTheme="minorHAnsi" w:hAnsiTheme="minorHAnsi"/>
          <w:color w:val="auto"/>
        </w:rPr>
        <w:t xml:space="preserve"> e c.2) </w:t>
      </w:r>
      <w:r w:rsidR="00C6628B" w:rsidRPr="00DE3690">
        <w:rPr>
          <w:rFonts w:asciiTheme="minorHAnsi" w:hAnsiTheme="minorHAnsi"/>
          <w:color w:val="auto"/>
        </w:rPr>
        <w:t>Fundos de Ações Abertos</w:t>
      </w:r>
      <w:r w:rsidR="008710C7" w:rsidRPr="00DE3690">
        <w:rPr>
          <w:rFonts w:asciiTheme="minorHAnsi" w:hAnsiTheme="minorHAnsi"/>
          <w:color w:val="auto"/>
        </w:rPr>
        <w:t xml:space="preserve">. c.3) </w:t>
      </w:r>
      <w:r w:rsidR="00C6628B" w:rsidRPr="00DE3690">
        <w:rPr>
          <w:rFonts w:asciiTheme="minorHAnsi" w:hAnsiTheme="minorHAnsi"/>
          <w:color w:val="auto"/>
        </w:rPr>
        <w:t>Multimercados</w:t>
      </w:r>
    </w:p>
    <w:p w:rsidR="00C6628B" w:rsidRPr="00DE3690" w:rsidRDefault="00F1083F" w:rsidP="00F1083F">
      <w:pPr>
        <w:pStyle w:val="Default"/>
        <w:jc w:val="both"/>
        <w:rPr>
          <w:rFonts w:asciiTheme="minorHAnsi" w:hAnsiTheme="minorHAnsi"/>
          <w:color w:val="auto"/>
        </w:rPr>
      </w:pPr>
      <w:r w:rsidRPr="00DE3690">
        <w:rPr>
          <w:rFonts w:asciiTheme="minorHAnsi" w:hAnsiTheme="minorHAnsi"/>
          <w:b/>
          <w:color w:val="auto"/>
        </w:rPr>
        <w:t xml:space="preserve">d) </w:t>
      </w:r>
      <w:r w:rsidR="00C6628B" w:rsidRPr="00DE3690">
        <w:rPr>
          <w:rFonts w:asciiTheme="minorHAnsi" w:hAnsiTheme="minorHAnsi"/>
          <w:b/>
          <w:color w:val="auto"/>
        </w:rPr>
        <w:t>Fundos Estruturados – Imobiliários e Participações</w:t>
      </w:r>
      <w:r w:rsidR="008710C7" w:rsidRPr="00DE3690">
        <w:rPr>
          <w:rFonts w:asciiTheme="minorHAnsi" w:hAnsiTheme="minorHAnsi"/>
          <w:color w:val="auto"/>
        </w:rPr>
        <w:t xml:space="preserve">: d.1) </w:t>
      </w:r>
      <w:r w:rsidR="00C6628B" w:rsidRPr="00DE3690">
        <w:rPr>
          <w:rFonts w:asciiTheme="minorHAnsi" w:hAnsiTheme="minorHAnsi"/>
          <w:color w:val="auto"/>
        </w:rPr>
        <w:t>Fundos Imobiliários</w:t>
      </w:r>
      <w:r w:rsidR="008710C7" w:rsidRPr="00DE3690">
        <w:rPr>
          <w:rFonts w:asciiTheme="minorHAnsi" w:hAnsiTheme="minorHAnsi"/>
          <w:color w:val="auto"/>
        </w:rPr>
        <w:t xml:space="preserve"> (FII), e d.2) </w:t>
      </w:r>
      <w:r w:rsidR="00C6628B" w:rsidRPr="00DE3690">
        <w:rPr>
          <w:rFonts w:asciiTheme="minorHAnsi" w:hAnsiTheme="minorHAnsi"/>
          <w:color w:val="auto"/>
        </w:rPr>
        <w:t>Fundos de Participações</w:t>
      </w:r>
      <w:r w:rsidR="008710C7" w:rsidRPr="00DE3690">
        <w:rPr>
          <w:rFonts w:asciiTheme="minorHAnsi" w:hAnsiTheme="minorHAnsi"/>
          <w:color w:val="auto"/>
        </w:rPr>
        <w:t xml:space="preserve"> (FIP).</w:t>
      </w:r>
    </w:p>
    <w:p w:rsidR="00C6628B" w:rsidRPr="00DE3690" w:rsidRDefault="00C6628B" w:rsidP="00C30459">
      <w:pPr>
        <w:pStyle w:val="Default"/>
        <w:jc w:val="both"/>
        <w:rPr>
          <w:rFonts w:asciiTheme="minorHAnsi" w:hAnsiTheme="minorHAnsi"/>
          <w:color w:val="auto"/>
        </w:rPr>
      </w:pPr>
    </w:p>
    <w:p w:rsidR="0003440D" w:rsidRDefault="0003440D" w:rsidP="00C30459">
      <w:pPr>
        <w:pStyle w:val="Default"/>
        <w:jc w:val="both"/>
        <w:rPr>
          <w:rFonts w:asciiTheme="minorHAnsi" w:hAnsiTheme="minorHAnsi"/>
          <w:color w:val="auto"/>
        </w:rPr>
      </w:pPr>
      <w:r w:rsidRPr="00DE3690">
        <w:rPr>
          <w:rFonts w:asciiTheme="minorHAnsi" w:hAnsiTheme="minorHAnsi"/>
          <w:color w:val="auto"/>
        </w:rPr>
        <w:t>Tabela resumo com as classes e subclasses de investimentos, artigos em que se enquadram na legislação e perfil e risco dos investimentos:</w:t>
      </w: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Default="00155D21" w:rsidP="00C30459">
      <w:pPr>
        <w:pStyle w:val="Default"/>
        <w:jc w:val="both"/>
        <w:rPr>
          <w:rFonts w:asciiTheme="minorHAnsi" w:hAnsiTheme="minorHAnsi"/>
          <w:color w:val="auto"/>
        </w:rPr>
      </w:pPr>
    </w:p>
    <w:p w:rsidR="00155D21" w:rsidRPr="00DE3690" w:rsidRDefault="00155D21" w:rsidP="00C30459">
      <w:pPr>
        <w:pStyle w:val="Default"/>
        <w:jc w:val="both"/>
        <w:rPr>
          <w:rFonts w:asciiTheme="minorHAnsi" w:hAnsiTheme="minorHAnsi"/>
          <w:color w:val="auto"/>
        </w:rPr>
      </w:pPr>
    </w:p>
    <w:p w:rsidR="00F1083F" w:rsidRPr="00DE3690" w:rsidRDefault="00F1083F" w:rsidP="00C30459">
      <w:pPr>
        <w:pStyle w:val="Default"/>
        <w:jc w:val="both"/>
        <w:rPr>
          <w:rFonts w:asciiTheme="minorHAnsi" w:hAnsiTheme="minorHAnsi"/>
          <w:color w:val="auto"/>
        </w:rPr>
      </w:pPr>
    </w:p>
    <w:tbl>
      <w:tblPr>
        <w:tblStyle w:val="Tabelacomgrade"/>
        <w:tblW w:w="4947" w:type="pct"/>
        <w:tblInd w:w="108" w:type="dxa"/>
        <w:tblLook w:val="04A0" w:firstRow="1" w:lastRow="0" w:firstColumn="1" w:lastColumn="0" w:noHBand="0" w:noVBand="1"/>
      </w:tblPr>
      <w:tblGrid>
        <w:gridCol w:w="2340"/>
        <w:gridCol w:w="2564"/>
        <w:gridCol w:w="2564"/>
        <w:gridCol w:w="2562"/>
      </w:tblGrid>
      <w:tr w:rsidR="00C6628B" w:rsidRPr="00DE3690" w:rsidTr="00F1083F">
        <w:tc>
          <w:tcPr>
            <w:tcW w:w="1167" w:type="pct"/>
          </w:tcPr>
          <w:p w:rsidR="00C6628B" w:rsidRPr="00DE3690" w:rsidRDefault="00C6628B" w:rsidP="00C6628B">
            <w:pPr>
              <w:pStyle w:val="Default"/>
              <w:jc w:val="both"/>
              <w:rPr>
                <w:rFonts w:asciiTheme="minorHAnsi" w:hAnsiTheme="minorHAnsi"/>
                <w:b/>
                <w:color w:val="auto"/>
                <w:sz w:val="22"/>
                <w:szCs w:val="22"/>
              </w:rPr>
            </w:pPr>
            <w:bookmarkStart w:id="22" w:name="_Hlk525039780"/>
            <w:r w:rsidRPr="00DE3690">
              <w:rPr>
                <w:rFonts w:asciiTheme="minorHAnsi" w:hAnsiTheme="minorHAnsi"/>
                <w:b/>
                <w:color w:val="auto"/>
                <w:sz w:val="22"/>
                <w:szCs w:val="22"/>
              </w:rPr>
              <w:t>Classes</w:t>
            </w:r>
          </w:p>
        </w:tc>
        <w:tc>
          <w:tcPr>
            <w:tcW w:w="1278" w:type="pct"/>
          </w:tcPr>
          <w:p w:rsidR="00C6628B" w:rsidRPr="00DE3690" w:rsidRDefault="00615087" w:rsidP="00C6628B">
            <w:pPr>
              <w:pStyle w:val="Default"/>
              <w:jc w:val="both"/>
              <w:rPr>
                <w:rFonts w:asciiTheme="minorHAnsi" w:hAnsiTheme="minorHAnsi"/>
                <w:b/>
                <w:color w:val="auto"/>
                <w:sz w:val="22"/>
                <w:szCs w:val="22"/>
              </w:rPr>
            </w:pPr>
            <w:r w:rsidRPr="00DE3690">
              <w:rPr>
                <w:rFonts w:asciiTheme="minorHAnsi" w:hAnsiTheme="minorHAnsi"/>
                <w:b/>
                <w:color w:val="auto"/>
                <w:sz w:val="22"/>
                <w:szCs w:val="22"/>
              </w:rPr>
              <w:t>Artigos da Res. CMN</w:t>
            </w:r>
          </w:p>
        </w:tc>
        <w:tc>
          <w:tcPr>
            <w:tcW w:w="1278" w:type="pct"/>
          </w:tcPr>
          <w:p w:rsidR="00C6628B" w:rsidRPr="00DE3690" w:rsidRDefault="00615087" w:rsidP="00C6628B">
            <w:pPr>
              <w:pStyle w:val="Default"/>
              <w:jc w:val="both"/>
              <w:rPr>
                <w:rFonts w:asciiTheme="minorHAnsi" w:hAnsiTheme="minorHAnsi"/>
                <w:b/>
                <w:color w:val="auto"/>
                <w:sz w:val="22"/>
                <w:szCs w:val="22"/>
              </w:rPr>
            </w:pPr>
            <w:r w:rsidRPr="00DE3690">
              <w:rPr>
                <w:rFonts w:asciiTheme="minorHAnsi" w:hAnsiTheme="minorHAnsi"/>
                <w:b/>
                <w:color w:val="auto"/>
                <w:sz w:val="22"/>
                <w:szCs w:val="22"/>
              </w:rPr>
              <w:t>Perfil de Investimento</w:t>
            </w:r>
          </w:p>
        </w:tc>
        <w:tc>
          <w:tcPr>
            <w:tcW w:w="1278" w:type="pct"/>
          </w:tcPr>
          <w:p w:rsidR="00C6628B" w:rsidRPr="00DE3690" w:rsidRDefault="00615087" w:rsidP="00C6628B">
            <w:pPr>
              <w:pStyle w:val="Default"/>
              <w:jc w:val="both"/>
              <w:rPr>
                <w:rFonts w:asciiTheme="minorHAnsi" w:hAnsiTheme="minorHAnsi"/>
                <w:b/>
                <w:color w:val="auto"/>
                <w:sz w:val="22"/>
                <w:szCs w:val="22"/>
              </w:rPr>
            </w:pPr>
            <w:r w:rsidRPr="00DE3690">
              <w:rPr>
                <w:rFonts w:asciiTheme="minorHAnsi" w:hAnsiTheme="minorHAnsi"/>
                <w:b/>
                <w:color w:val="auto"/>
                <w:sz w:val="22"/>
                <w:szCs w:val="22"/>
              </w:rPr>
              <w:t>Tipos de Riscos</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a.1) </w:t>
            </w:r>
            <w:r w:rsidR="00615087" w:rsidRPr="00DE3690">
              <w:rPr>
                <w:rFonts w:asciiTheme="minorHAnsi" w:hAnsiTheme="minorHAnsi"/>
                <w:color w:val="auto"/>
                <w:sz w:val="22"/>
                <w:szCs w:val="22"/>
              </w:rPr>
              <w:t>Títulos Públicos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I, a</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100% títulos públicos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p>
        </w:tc>
      </w:tr>
      <w:tr w:rsidR="00615087" w:rsidRPr="00DE3690" w:rsidTr="00F1083F">
        <w:tc>
          <w:tcPr>
            <w:tcW w:w="1167" w:type="pct"/>
          </w:tcPr>
          <w:p w:rsidR="00615087" w:rsidRPr="00DE3690" w:rsidRDefault="008710C7" w:rsidP="003A52FB">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a.2) </w:t>
            </w:r>
            <w:r w:rsidR="00615087" w:rsidRPr="00DE3690">
              <w:rPr>
                <w:rFonts w:asciiTheme="minorHAnsi" w:hAnsiTheme="minorHAnsi"/>
                <w:color w:val="auto"/>
                <w:sz w:val="22"/>
                <w:szCs w:val="22"/>
              </w:rPr>
              <w:t>Fundos de Índice de Renda Fixa 100% Títulos Públicos</w:t>
            </w:r>
          </w:p>
        </w:tc>
        <w:tc>
          <w:tcPr>
            <w:tcW w:w="1278" w:type="pct"/>
          </w:tcPr>
          <w:p w:rsidR="00615087" w:rsidRPr="00DE3690" w:rsidRDefault="003A52FB" w:rsidP="003A52FB">
            <w:pPr>
              <w:pStyle w:val="Default"/>
              <w:jc w:val="both"/>
              <w:rPr>
                <w:rFonts w:asciiTheme="minorHAnsi" w:hAnsiTheme="minorHAnsi"/>
                <w:color w:val="auto"/>
                <w:sz w:val="22"/>
                <w:szCs w:val="22"/>
              </w:rPr>
            </w:pPr>
            <w:r w:rsidRPr="00DE3690">
              <w:rPr>
                <w:rFonts w:asciiTheme="minorHAnsi" w:hAnsiTheme="minorHAnsi"/>
                <w:color w:val="auto"/>
                <w:sz w:val="22"/>
                <w:szCs w:val="22"/>
              </w:rPr>
              <w:t>7°, I, b | 7°, I, c</w:t>
            </w:r>
          </w:p>
        </w:tc>
        <w:tc>
          <w:tcPr>
            <w:tcW w:w="1278" w:type="pct"/>
          </w:tcPr>
          <w:p w:rsidR="00615087" w:rsidRPr="00DE3690" w:rsidRDefault="003A52FB" w:rsidP="003A52FB">
            <w:pPr>
              <w:pStyle w:val="Default"/>
              <w:jc w:val="both"/>
              <w:rPr>
                <w:rFonts w:asciiTheme="minorHAnsi" w:hAnsiTheme="minorHAnsi"/>
                <w:color w:val="auto"/>
                <w:sz w:val="22"/>
                <w:szCs w:val="22"/>
              </w:rPr>
            </w:pPr>
            <w:r w:rsidRPr="00DE3690">
              <w:rPr>
                <w:rFonts w:asciiTheme="minorHAnsi" w:hAnsiTheme="minorHAnsi"/>
                <w:color w:val="auto"/>
                <w:sz w:val="22"/>
                <w:szCs w:val="22"/>
              </w:rPr>
              <w:t>100% títulos públicos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b.1) </w:t>
            </w:r>
            <w:r w:rsidR="00615087" w:rsidRPr="00DE3690">
              <w:rPr>
                <w:rFonts w:asciiTheme="minorHAnsi" w:hAnsiTheme="minorHAnsi"/>
                <w:color w:val="auto"/>
                <w:sz w:val="22"/>
                <w:szCs w:val="22"/>
              </w:rPr>
              <w:t>Títulos Privados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V, b | 7°, VI, a | 7°, VI,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Títulos privados diretamente (sem fundo)</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Crédito</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b.2) </w:t>
            </w:r>
            <w:r w:rsidR="00615087" w:rsidRPr="00DE3690">
              <w:rPr>
                <w:rFonts w:asciiTheme="minorHAnsi" w:hAnsiTheme="minorHAnsi"/>
                <w:color w:val="auto"/>
                <w:sz w:val="22"/>
                <w:szCs w:val="22"/>
              </w:rPr>
              <w:t>Fundos de Renda Fixa Abertos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III, a | 7°, III, b | 7°, IV, a | 7°, IV,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Mínimo 50% títulos públicos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Mercado e Crédito, com garantia real e/ou fidejussória </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b.3) </w:t>
            </w:r>
            <w:r w:rsidR="00615087" w:rsidRPr="00DE3690">
              <w:rPr>
                <w:rFonts w:asciiTheme="minorHAnsi" w:hAnsiTheme="minorHAnsi"/>
                <w:color w:val="auto"/>
                <w:sz w:val="22"/>
                <w:szCs w:val="22"/>
              </w:rPr>
              <w:t>Fundos de Renda Fixa Crédito Privado</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VII,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Até 100% títulos privados (através de fundos)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 e Crédito, com garantia real e/ou fidejussória</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b.4) </w:t>
            </w:r>
            <w:r w:rsidR="00615087" w:rsidRPr="00DE3690">
              <w:rPr>
                <w:rFonts w:asciiTheme="minorHAnsi" w:hAnsiTheme="minorHAnsi"/>
                <w:color w:val="auto"/>
                <w:sz w:val="22"/>
                <w:szCs w:val="22"/>
              </w:rPr>
              <w:t>FI Direitos Creditórios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VII, a</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Crédito mercantil e/ou crédito lastro imobiliário</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Crédito, </w:t>
            </w:r>
            <w:r w:rsidR="00760A52" w:rsidRPr="00DE3690">
              <w:rPr>
                <w:rFonts w:asciiTheme="minorHAnsi" w:hAnsiTheme="minorHAnsi"/>
                <w:color w:val="auto"/>
                <w:sz w:val="22"/>
                <w:szCs w:val="22"/>
              </w:rPr>
              <w:t xml:space="preserve">com ou </w:t>
            </w:r>
            <w:r w:rsidR="00611725" w:rsidRPr="00DE3690">
              <w:rPr>
                <w:rFonts w:asciiTheme="minorHAnsi" w:hAnsiTheme="minorHAnsi"/>
                <w:color w:val="auto"/>
                <w:sz w:val="22"/>
                <w:szCs w:val="22"/>
              </w:rPr>
              <w:t>sem garantia real e/ou fidejussória</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b.5) </w:t>
            </w:r>
            <w:r w:rsidR="00615087" w:rsidRPr="00DE3690">
              <w:rPr>
                <w:rFonts w:asciiTheme="minorHAnsi" w:hAnsiTheme="minorHAnsi"/>
                <w:color w:val="auto"/>
                <w:sz w:val="22"/>
                <w:szCs w:val="22"/>
              </w:rPr>
              <w:t>FI em Debêntures de Infraestrutura</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7°, VII, c</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Crédito projetos infraestrutura</w:t>
            </w:r>
          </w:p>
        </w:tc>
        <w:tc>
          <w:tcPr>
            <w:tcW w:w="1278" w:type="pct"/>
          </w:tcPr>
          <w:p w:rsidR="00615087" w:rsidRPr="00DE3690" w:rsidRDefault="00611725"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Crédito, </w:t>
            </w:r>
            <w:r w:rsidR="003A52FB" w:rsidRPr="00DE3690">
              <w:rPr>
                <w:rFonts w:asciiTheme="minorHAnsi" w:hAnsiTheme="minorHAnsi"/>
                <w:color w:val="auto"/>
                <w:sz w:val="22"/>
                <w:szCs w:val="22"/>
              </w:rPr>
              <w:t xml:space="preserve">com ou </w:t>
            </w:r>
            <w:r w:rsidRPr="00DE3690">
              <w:rPr>
                <w:rFonts w:asciiTheme="minorHAnsi" w:hAnsiTheme="minorHAnsi"/>
                <w:color w:val="auto"/>
                <w:sz w:val="22"/>
                <w:szCs w:val="22"/>
              </w:rPr>
              <w:t>sem garantia real e/ou fidejussória</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c.1) </w:t>
            </w:r>
            <w:r w:rsidR="00615087" w:rsidRPr="00DE3690">
              <w:rPr>
                <w:rFonts w:asciiTheme="minorHAnsi" w:hAnsiTheme="minorHAnsi"/>
                <w:color w:val="auto"/>
                <w:sz w:val="22"/>
                <w:szCs w:val="22"/>
              </w:rPr>
              <w:t>Fundos de Índice de Ações ou Referenciados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8°, I, a | 8°, I,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Ações que acompanham o Índice Bovespa ou </w:t>
            </w:r>
            <w:proofErr w:type="spellStart"/>
            <w:r w:rsidRPr="00DE3690">
              <w:rPr>
                <w:rFonts w:asciiTheme="minorHAnsi" w:hAnsiTheme="minorHAnsi"/>
                <w:color w:val="auto"/>
                <w:sz w:val="22"/>
                <w:szCs w:val="22"/>
              </w:rPr>
              <w:t>IBr</w:t>
            </w:r>
            <w:proofErr w:type="spellEnd"/>
            <w:r w:rsidRPr="00DE3690">
              <w:rPr>
                <w:rFonts w:asciiTheme="minorHAnsi" w:hAnsiTheme="minorHAnsi"/>
                <w:color w:val="auto"/>
                <w:sz w:val="22"/>
                <w:szCs w:val="22"/>
              </w:rPr>
              <w:t>-X</w:t>
            </w:r>
          </w:p>
        </w:tc>
        <w:tc>
          <w:tcPr>
            <w:tcW w:w="1278" w:type="pct"/>
          </w:tcPr>
          <w:p w:rsidR="00615087" w:rsidRPr="00DE3690" w:rsidRDefault="00611725"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c.2) F</w:t>
            </w:r>
            <w:r w:rsidR="00615087" w:rsidRPr="00DE3690">
              <w:rPr>
                <w:rFonts w:asciiTheme="minorHAnsi" w:hAnsiTheme="minorHAnsi"/>
                <w:color w:val="auto"/>
                <w:sz w:val="22"/>
                <w:szCs w:val="22"/>
              </w:rPr>
              <w:t>undos de Ações Abertos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8°, II, a | 8°, II,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Ações com estratégias diferenciadas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c.3) </w:t>
            </w:r>
            <w:r w:rsidR="00615087" w:rsidRPr="00DE3690">
              <w:rPr>
                <w:rFonts w:asciiTheme="minorHAnsi" w:hAnsiTheme="minorHAnsi"/>
                <w:color w:val="auto"/>
                <w:sz w:val="22"/>
                <w:szCs w:val="22"/>
              </w:rPr>
              <w:t>Multimercados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8°, III</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Hibrido Ações, Títulos Privados e Públicos</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r w:rsidR="003A52FB" w:rsidRPr="00DE3690">
              <w:rPr>
                <w:rFonts w:asciiTheme="minorHAnsi" w:hAnsiTheme="minorHAnsi"/>
                <w:color w:val="auto"/>
                <w:sz w:val="22"/>
                <w:szCs w:val="22"/>
              </w:rPr>
              <w:t xml:space="preserve"> e/ou Crédito, com garantia real e/ou fidejussória</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d.1) </w:t>
            </w:r>
            <w:r w:rsidR="00615087" w:rsidRPr="00DE3690">
              <w:rPr>
                <w:rFonts w:asciiTheme="minorHAnsi" w:hAnsiTheme="minorHAnsi"/>
                <w:color w:val="auto"/>
                <w:sz w:val="22"/>
                <w:szCs w:val="22"/>
              </w:rPr>
              <w:t>Fundos Imobiliários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8°, IV, b</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Projetos Imobiliários para desenvolvimento e/ou renda imobiliária</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Crédito, com garantia real e/ou fidejussória</w:t>
            </w:r>
          </w:p>
        </w:tc>
      </w:tr>
      <w:tr w:rsidR="00615087" w:rsidRPr="00DE3690" w:rsidTr="00F1083F">
        <w:tc>
          <w:tcPr>
            <w:tcW w:w="1167"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d.2) </w:t>
            </w:r>
            <w:r w:rsidR="00615087" w:rsidRPr="00DE3690">
              <w:rPr>
                <w:rFonts w:asciiTheme="minorHAnsi" w:hAnsiTheme="minorHAnsi"/>
                <w:color w:val="auto"/>
                <w:sz w:val="22"/>
                <w:szCs w:val="22"/>
              </w:rPr>
              <w:t>Fundos de Participações</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8°, IV, a</w:t>
            </w:r>
          </w:p>
        </w:tc>
        <w:tc>
          <w:tcPr>
            <w:tcW w:w="1278" w:type="pct"/>
          </w:tcPr>
          <w:p w:rsidR="00615087" w:rsidRPr="00DE3690" w:rsidRDefault="003A52FB"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Projetos em empresas</w:t>
            </w:r>
            <w:r w:rsidR="009019CB" w:rsidRPr="00DE3690">
              <w:rPr>
                <w:rFonts w:asciiTheme="minorHAnsi" w:hAnsiTheme="minorHAnsi"/>
                <w:color w:val="auto"/>
                <w:sz w:val="22"/>
                <w:szCs w:val="22"/>
              </w:rPr>
              <w:t xml:space="preserve"> com potencial de valorização</w:t>
            </w:r>
          </w:p>
        </w:tc>
        <w:tc>
          <w:tcPr>
            <w:tcW w:w="1278" w:type="pct"/>
          </w:tcPr>
          <w:p w:rsidR="00615087" w:rsidRPr="00DE3690" w:rsidRDefault="008710C7" w:rsidP="00615087">
            <w:pPr>
              <w:pStyle w:val="Default"/>
              <w:jc w:val="both"/>
              <w:rPr>
                <w:rFonts w:asciiTheme="minorHAnsi" w:hAnsiTheme="minorHAnsi"/>
                <w:color w:val="auto"/>
                <w:sz w:val="22"/>
                <w:szCs w:val="22"/>
              </w:rPr>
            </w:pPr>
            <w:r w:rsidRPr="00DE3690">
              <w:rPr>
                <w:rFonts w:asciiTheme="minorHAnsi" w:hAnsiTheme="minorHAnsi"/>
                <w:color w:val="auto"/>
                <w:sz w:val="22"/>
                <w:szCs w:val="22"/>
              </w:rPr>
              <w:t>Crédito, sem garantia real e/ou fidejussória</w:t>
            </w:r>
          </w:p>
        </w:tc>
      </w:tr>
      <w:bookmarkEnd w:id="22"/>
    </w:tbl>
    <w:p w:rsidR="00C6628B" w:rsidRPr="00DE3690" w:rsidRDefault="00C6628B" w:rsidP="00C6628B">
      <w:pPr>
        <w:pStyle w:val="Default"/>
        <w:jc w:val="both"/>
        <w:rPr>
          <w:rFonts w:asciiTheme="minorHAnsi" w:hAnsiTheme="minorHAnsi"/>
          <w:color w:val="auto"/>
        </w:rPr>
      </w:pPr>
    </w:p>
    <w:p w:rsidR="00C6628B" w:rsidRPr="00DE3690" w:rsidRDefault="0003440D" w:rsidP="00292BAE">
      <w:pPr>
        <w:pStyle w:val="Default"/>
        <w:jc w:val="both"/>
        <w:rPr>
          <w:rFonts w:asciiTheme="minorHAnsi" w:hAnsiTheme="minorHAnsi"/>
          <w:color w:val="auto"/>
        </w:rPr>
      </w:pPr>
      <w:r w:rsidRPr="00DE3690">
        <w:rPr>
          <w:rFonts w:asciiTheme="minorHAnsi" w:hAnsiTheme="minorHAnsi"/>
          <w:color w:val="auto"/>
        </w:rPr>
        <w:t>A seguir são detalhadas as classes e subclasses de investimentos:</w:t>
      </w:r>
    </w:p>
    <w:p w:rsidR="00C6628B" w:rsidRPr="00DE3690" w:rsidRDefault="00C6628B" w:rsidP="00292BAE">
      <w:pPr>
        <w:pStyle w:val="Default"/>
        <w:jc w:val="both"/>
        <w:rPr>
          <w:rFonts w:asciiTheme="minorHAnsi" w:hAnsiTheme="minorHAnsi"/>
          <w:b/>
          <w:bCs/>
          <w:color w:val="auto"/>
        </w:rPr>
      </w:pPr>
    </w:p>
    <w:p w:rsidR="00292BAE" w:rsidRPr="00DE3690" w:rsidRDefault="00292BAE" w:rsidP="00F1083F">
      <w:pPr>
        <w:pStyle w:val="Ttulo2"/>
        <w:spacing w:before="0"/>
        <w:rPr>
          <w:rFonts w:asciiTheme="minorHAnsi" w:hAnsiTheme="minorHAnsi"/>
          <w:i w:val="0"/>
          <w:szCs w:val="24"/>
          <w:lang w:val="pt-BR"/>
        </w:rPr>
      </w:pPr>
      <w:bookmarkStart w:id="23" w:name="_Toc525634185"/>
      <w:r w:rsidRPr="00DE3690">
        <w:rPr>
          <w:rFonts w:asciiTheme="minorHAnsi" w:hAnsiTheme="minorHAnsi"/>
          <w:i w:val="0"/>
          <w:szCs w:val="24"/>
          <w:lang w:val="pt-BR"/>
        </w:rPr>
        <w:t>A) Títulos Públicos – Fundos Renda Fixa Títulos Públicos</w:t>
      </w:r>
      <w:bookmarkEnd w:id="23"/>
      <w:r w:rsidR="00157FC4" w:rsidRPr="00DE3690">
        <w:rPr>
          <w:rFonts w:asciiTheme="minorHAnsi" w:hAnsiTheme="minorHAnsi"/>
          <w:i w:val="0"/>
          <w:szCs w:val="24"/>
          <w:lang w:val="pt-BR"/>
        </w:rPr>
        <w:t>:</w:t>
      </w:r>
    </w:p>
    <w:p w:rsidR="00292BAE" w:rsidRPr="00DE3690" w:rsidRDefault="005E1FD5" w:rsidP="00F1083F">
      <w:pPr>
        <w:pStyle w:val="Ttulo3"/>
        <w:spacing w:before="0" w:after="0"/>
        <w:jc w:val="both"/>
        <w:rPr>
          <w:rFonts w:asciiTheme="minorHAnsi" w:hAnsiTheme="minorHAnsi"/>
          <w:szCs w:val="24"/>
          <w:lang w:val="pt-BR"/>
        </w:rPr>
      </w:pPr>
      <w:bookmarkStart w:id="24" w:name="_Toc525634186"/>
      <w:r w:rsidRPr="00DE3690">
        <w:rPr>
          <w:rFonts w:asciiTheme="minorHAnsi" w:hAnsiTheme="minorHAnsi"/>
          <w:szCs w:val="24"/>
          <w:lang w:val="pt-BR"/>
        </w:rPr>
        <w:t xml:space="preserve">a.1) </w:t>
      </w:r>
      <w:r w:rsidR="00292BAE" w:rsidRPr="00DE3690">
        <w:rPr>
          <w:rFonts w:asciiTheme="minorHAnsi" w:hAnsiTheme="minorHAnsi"/>
          <w:szCs w:val="24"/>
          <w:lang w:val="pt-BR"/>
        </w:rPr>
        <w:t>Títulos Públicos</w:t>
      </w:r>
      <w:bookmarkEnd w:id="24"/>
      <w:r w:rsidR="00F1083F" w:rsidRPr="00DE3690">
        <w:rPr>
          <w:rFonts w:asciiTheme="minorHAnsi" w:hAnsiTheme="minorHAnsi"/>
          <w:szCs w:val="24"/>
          <w:lang w:val="pt-BR"/>
        </w:rPr>
        <w:t xml:space="preserve">: </w:t>
      </w:r>
      <w:r w:rsidR="00292BAE" w:rsidRPr="00DE3690">
        <w:rPr>
          <w:rFonts w:asciiTheme="minorHAnsi" w:hAnsiTheme="minorHAnsi"/>
          <w:b w:val="0"/>
          <w:szCs w:val="24"/>
          <w:lang w:val="pt-BR"/>
        </w:rPr>
        <w:t xml:space="preserve">Os títulos públicos deverão ser marcados a mercado, conforme a Resolução CMN 3.922/2010, 4.392/2014 e 4.604/2017, e a Portaria MPAS nº 402/2008, com exceção dos títulos mantidos até o vencimento, hipótese na qual o </w:t>
      </w:r>
      <w:r w:rsidR="00646827" w:rsidRPr="00DE3690">
        <w:rPr>
          <w:rFonts w:asciiTheme="minorHAnsi" w:hAnsiTheme="minorHAnsi"/>
          <w:b w:val="0"/>
          <w:szCs w:val="24"/>
          <w:lang w:val="pt-BR"/>
        </w:rPr>
        <w:t>IPESMUC</w:t>
      </w:r>
      <w:r w:rsidR="00292BAE" w:rsidRPr="00DE3690">
        <w:rPr>
          <w:rFonts w:asciiTheme="minorHAnsi" w:hAnsiTheme="minorHAnsi"/>
          <w:b w:val="0"/>
          <w:szCs w:val="24"/>
          <w:lang w:val="pt-BR"/>
        </w:rPr>
        <w:t xml:space="preserve"> deverá atender ao Art. 16, § 2º da  Portaria MPAS nº 402/2008 e Portaria SPREV/MF nº 4, de 5 de fevereiro de 2018.</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7°, I, a</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xml:space="preserve">: </w:t>
      </w:r>
      <w:r w:rsidR="0010573A" w:rsidRPr="00DE3690">
        <w:rPr>
          <w:rFonts w:asciiTheme="minorHAnsi" w:hAnsiTheme="minorHAnsi"/>
          <w:color w:val="auto"/>
        </w:rPr>
        <w:t>100% (cem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10573A" w:rsidRPr="00DE3690">
        <w:rPr>
          <w:rFonts w:asciiTheme="minorHAnsi" w:hAnsiTheme="minorHAnsi"/>
          <w:color w:val="auto"/>
        </w:rPr>
        <w:t>100% (cem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E6560E" w:rsidRPr="00DE3690">
        <w:rPr>
          <w:rFonts w:asciiTheme="minorHAnsi" w:hAnsiTheme="minorHAnsi"/>
          <w:color w:val="auto"/>
        </w:rPr>
        <w:t>Limite da PI igual ao Limite da Res. CMN 3.922/10</w:t>
      </w:r>
    </w:p>
    <w:p w:rsidR="00292BAE" w:rsidRPr="00DE3690" w:rsidRDefault="00292BAE" w:rsidP="00F1083F">
      <w:pPr>
        <w:pStyle w:val="Default"/>
        <w:jc w:val="both"/>
        <w:rPr>
          <w:rFonts w:asciiTheme="minorHAnsi" w:hAnsiTheme="minorHAnsi"/>
          <w:color w:val="auto"/>
        </w:rPr>
      </w:pPr>
    </w:p>
    <w:p w:rsidR="00155D21" w:rsidRDefault="00155D21" w:rsidP="00F1083F">
      <w:pPr>
        <w:pStyle w:val="Ttulo3"/>
        <w:spacing w:before="0" w:after="0"/>
        <w:jc w:val="both"/>
        <w:rPr>
          <w:rFonts w:asciiTheme="minorHAnsi" w:hAnsiTheme="minorHAnsi"/>
          <w:szCs w:val="24"/>
          <w:lang w:val="pt-BR"/>
        </w:rPr>
      </w:pPr>
      <w:bookmarkStart w:id="25" w:name="_Toc525634187"/>
    </w:p>
    <w:p w:rsidR="00155D21" w:rsidRDefault="00155D21" w:rsidP="00F1083F">
      <w:pPr>
        <w:pStyle w:val="Ttulo3"/>
        <w:spacing w:before="0" w:after="0"/>
        <w:jc w:val="both"/>
        <w:rPr>
          <w:rFonts w:asciiTheme="minorHAnsi" w:hAnsiTheme="minorHAnsi"/>
          <w:szCs w:val="24"/>
          <w:lang w:val="pt-BR"/>
        </w:rPr>
      </w:pPr>
    </w:p>
    <w:p w:rsidR="00155D21" w:rsidRDefault="00155D21" w:rsidP="00F1083F">
      <w:pPr>
        <w:pStyle w:val="Ttulo3"/>
        <w:spacing w:before="0" w:after="0"/>
        <w:jc w:val="both"/>
        <w:rPr>
          <w:rFonts w:asciiTheme="minorHAnsi" w:hAnsiTheme="minorHAnsi"/>
          <w:szCs w:val="24"/>
          <w:lang w:val="pt-BR"/>
        </w:rPr>
      </w:pPr>
    </w:p>
    <w:p w:rsidR="00155D21" w:rsidRDefault="00155D21" w:rsidP="00F1083F">
      <w:pPr>
        <w:pStyle w:val="Ttulo3"/>
        <w:spacing w:before="0" w:after="0"/>
        <w:jc w:val="both"/>
        <w:rPr>
          <w:rFonts w:asciiTheme="minorHAnsi" w:hAnsiTheme="minorHAnsi"/>
          <w:szCs w:val="24"/>
          <w:lang w:val="pt-BR"/>
        </w:rPr>
      </w:pPr>
    </w:p>
    <w:p w:rsidR="00155D21" w:rsidRDefault="00155D21" w:rsidP="00F1083F">
      <w:pPr>
        <w:pStyle w:val="Ttulo3"/>
        <w:spacing w:before="0" w:after="0"/>
        <w:jc w:val="both"/>
        <w:rPr>
          <w:rFonts w:asciiTheme="minorHAnsi" w:hAnsiTheme="minorHAnsi"/>
          <w:szCs w:val="24"/>
          <w:lang w:val="pt-BR"/>
        </w:rPr>
      </w:pPr>
    </w:p>
    <w:p w:rsidR="00292BAE" w:rsidRPr="00DE3690" w:rsidRDefault="005E1FD5" w:rsidP="00F1083F">
      <w:pPr>
        <w:pStyle w:val="Ttulo3"/>
        <w:spacing w:before="0" w:after="0"/>
        <w:jc w:val="both"/>
        <w:rPr>
          <w:rFonts w:asciiTheme="minorHAnsi" w:hAnsiTheme="minorHAnsi"/>
          <w:b w:val="0"/>
          <w:szCs w:val="24"/>
          <w:lang w:val="pt-BR"/>
        </w:rPr>
      </w:pPr>
      <w:r w:rsidRPr="00DE3690">
        <w:rPr>
          <w:rFonts w:asciiTheme="minorHAnsi" w:hAnsiTheme="minorHAnsi"/>
          <w:szCs w:val="24"/>
          <w:lang w:val="pt-BR"/>
        </w:rPr>
        <w:t xml:space="preserve">a.2) </w:t>
      </w:r>
      <w:r w:rsidR="00D05AAD" w:rsidRPr="00DE3690">
        <w:rPr>
          <w:rFonts w:asciiTheme="minorHAnsi" w:hAnsiTheme="minorHAnsi"/>
          <w:szCs w:val="24"/>
          <w:lang w:val="pt-BR"/>
        </w:rPr>
        <w:t>Fundos de Índice de Renda Fixa 100% Títulos Públicos</w:t>
      </w:r>
      <w:bookmarkEnd w:id="25"/>
      <w:r w:rsidR="00F1083F" w:rsidRPr="00DE3690">
        <w:rPr>
          <w:rFonts w:asciiTheme="minorHAnsi" w:hAnsiTheme="minorHAnsi"/>
          <w:szCs w:val="24"/>
          <w:lang w:val="pt-BR"/>
        </w:rPr>
        <w:t xml:space="preserve">: </w:t>
      </w:r>
      <w:r w:rsidR="00D05AAD" w:rsidRPr="00DE3690">
        <w:rPr>
          <w:rFonts w:asciiTheme="minorHAnsi" w:hAnsiTheme="minorHAnsi"/>
          <w:b w:val="0"/>
          <w:szCs w:val="24"/>
          <w:lang w:val="pt-BR"/>
        </w:rPr>
        <w:t xml:space="preserve">Representados pelos fundos com indexadores IMA (Índice de Mercado ANBIMA), que é uma família de índices de renda fixa que representam a dívida pública por meio dos preços a mercado de uma carteira de títulos públicos federais. Os </w:t>
      </w:r>
      <w:proofErr w:type="spellStart"/>
      <w:r w:rsidR="00D05AAD" w:rsidRPr="00DE3690">
        <w:rPr>
          <w:rFonts w:asciiTheme="minorHAnsi" w:hAnsiTheme="minorHAnsi"/>
          <w:b w:val="0"/>
          <w:szCs w:val="24"/>
          <w:lang w:val="pt-BR"/>
        </w:rPr>
        <w:t>subíndices</w:t>
      </w:r>
      <w:proofErr w:type="spellEnd"/>
      <w:r w:rsidR="00D05AAD" w:rsidRPr="00DE3690">
        <w:rPr>
          <w:rFonts w:asciiTheme="minorHAnsi" w:hAnsiTheme="minorHAnsi"/>
          <w:b w:val="0"/>
          <w:szCs w:val="24"/>
          <w:lang w:val="pt-BR"/>
        </w:rPr>
        <w:t xml:space="preserve"> do IMA são determinados pelos indexadores aos quais os títulos são atrelados: IRF-M (prefixados), IMA-B (indexados pelo IPCA), IMA-C (indexados pelo IGP-M) e IMA-S (pós-fixados pela taxa Selic). Representados também pelos fundos com indexadores IDkA (Índice de Duração Constante ANBIMA), que é um conjunto de índices que medem o comportamento de carteiras sintéticas de títulos públicos federais com prazo constante.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7°, I, b | 7°, I, c</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100% (cem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C60E8C" w:rsidRPr="00DE3690">
        <w:rPr>
          <w:rFonts w:asciiTheme="minorHAnsi" w:hAnsiTheme="minorHAnsi"/>
          <w:color w:val="auto"/>
        </w:rPr>
        <w:t>100% (cem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E6560E" w:rsidRPr="00DE3690">
        <w:rPr>
          <w:rFonts w:asciiTheme="minorHAnsi" w:hAnsiTheme="minorHAnsi"/>
          <w:color w:val="auto"/>
        </w:rPr>
        <w:t>Limite da PI igual ao Limite da Res. CMN 3.922/10</w:t>
      </w:r>
    </w:p>
    <w:p w:rsidR="00292BAE" w:rsidRPr="00DE3690" w:rsidRDefault="00292BAE" w:rsidP="00F1083F">
      <w:pPr>
        <w:pStyle w:val="Default"/>
        <w:jc w:val="both"/>
        <w:rPr>
          <w:rFonts w:asciiTheme="minorHAnsi" w:hAnsiTheme="minorHAnsi"/>
          <w:color w:val="auto"/>
        </w:rPr>
      </w:pPr>
    </w:p>
    <w:p w:rsidR="00292BAE" w:rsidRPr="00DE3690" w:rsidRDefault="00292BAE" w:rsidP="00F1083F">
      <w:pPr>
        <w:pStyle w:val="Ttulo2"/>
        <w:spacing w:before="0"/>
        <w:rPr>
          <w:rFonts w:asciiTheme="minorHAnsi" w:hAnsiTheme="minorHAnsi"/>
          <w:b w:val="0"/>
          <w:bCs w:val="0"/>
          <w:i w:val="0"/>
          <w:szCs w:val="24"/>
          <w:lang w:val="pt-BR"/>
        </w:rPr>
      </w:pPr>
      <w:bookmarkStart w:id="26" w:name="_Toc525634188"/>
      <w:r w:rsidRPr="00DE3690">
        <w:rPr>
          <w:rFonts w:asciiTheme="minorHAnsi" w:hAnsiTheme="minorHAnsi"/>
          <w:i w:val="0"/>
          <w:szCs w:val="24"/>
          <w:lang w:val="pt-BR"/>
        </w:rPr>
        <w:t>B) Títulos Privados - Fundos Renda Fixa Crédito Privado</w:t>
      </w:r>
      <w:bookmarkEnd w:id="26"/>
      <w:r w:rsidR="00157FC4" w:rsidRPr="00DE3690">
        <w:rPr>
          <w:rFonts w:asciiTheme="minorHAnsi" w:hAnsiTheme="minorHAnsi"/>
          <w:i w:val="0"/>
          <w:szCs w:val="24"/>
          <w:lang w:val="pt-BR"/>
        </w:rPr>
        <w:t>:</w:t>
      </w:r>
    </w:p>
    <w:p w:rsidR="00292BAE" w:rsidRPr="00DE3690" w:rsidRDefault="005E1FD5" w:rsidP="00F1083F">
      <w:pPr>
        <w:pStyle w:val="Ttulo3"/>
        <w:spacing w:before="0" w:after="0"/>
        <w:jc w:val="both"/>
        <w:rPr>
          <w:rFonts w:asciiTheme="minorHAnsi" w:hAnsiTheme="minorHAnsi"/>
          <w:b w:val="0"/>
          <w:szCs w:val="24"/>
          <w:lang w:val="pt-BR"/>
        </w:rPr>
      </w:pPr>
      <w:bookmarkStart w:id="27" w:name="_Toc525634189"/>
      <w:r w:rsidRPr="00DE3690">
        <w:rPr>
          <w:rFonts w:asciiTheme="minorHAnsi" w:hAnsiTheme="minorHAnsi"/>
          <w:szCs w:val="24"/>
          <w:lang w:val="pt-BR"/>
        </w:rPr>
        <w:t xml:space="preserve">b.1) </w:t>
      </w:r>
      <w:bookmarkStart w:id="28" w:name="_Toc525634190"/>
      <w:bookmarkEnd w:id="27"/>
      <w:r w:rsidR="00292BAE" w:rsidRPr="00DE3690">
        <w:rPr>
          <w:rFonts w:asciiTheme="minorHAnsi" w:hAnsiTheme="minorHAnsi"/>
          <w:szCs w:val="24"/>
          <w:lang w:val="pt-BR"/>
        </w:rPr>
        <w:t xml:space="preserve">Fundos de Renda Fixa </w:t>
      </w:r>
      <w:r w:rsidR="00D05AAD" w:rsidRPr="00DE3690">
        <w:rPr>
          <w:rFonts w:asciiTheme="minorHAnsi" w:hAnsiTheme="minorHAnsi"/>
          <w:szCs w:val="24"/>
          <w:lang w:val="pt-BR"/>
        </w:rPr>
        <w:t>Abertos</w:t>
      </w:r>
      <w:bookmarkEnd w:id="28"/>
      <w:r w:rsidR="00F1083F" w:rsidRPr="00DE3690">
        <w:rPr>
          <w:rFonts w:asciiTheme="minorHAnsi" w:hAnsiTheme="minorHAnsi"/>
          <w:szCs w:val="24"/>
          <w:lang w:val="pt-BR"/>
        </w:rPr>
        <w:t xml:space="preserve">: </w:t>
      </w:r>
      <w:r w:rsidR="006F4380" w:rsidRPr="00DE3690">
        <w:rPr>
          <w:rFonts w:asciiTheme="minorHAnsi" w:hAnsiTheme="minorHAnsi"/>
          <w:b w:val="0"/>
          <w:szCs w:val="24"/>
          <w:lang w:val="pt-BR"/>
        </w:rPr>
        <w:t>Fundos de Índice de Renda Fixa (RF) (com exceção do CDI/Selic) com limite de 60% de alocação do PL e Fundos de Renda Fixa Geral com limite de 40% de alocação do PL.</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7°, III, a | 7°, III, b | 7°, IV, a | 7°, IV, b</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xml:space="preserve">: </w:t>
      </w:r>
      <w:r w:rsidR="00E76069" w:rsidRPr="00DE3690">
        <w:rPr>
          <w:rFonts w:asciiTheme="minorHAnsi" w:hAnsiTheme="minorHAnsi"/>
          <w:color w:val="auto"/>
        </w:rPr>
        <w:t>60% (sessenta por cento) do PL para 7°, III isoladamente e 40% (quarenta por cento) do PL para 7°, IV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60% (sessenta por cento) do PL para 7°, III</w:t>
      </w:r>
      <w:r w:rsidR="00F1083F" w:rsidRPr="00DE3690">
        <w:rPr>
          <w:rFonts w:asciiTheme="minorHAnsi" w:hAnsiTheme="minorHAnsi"/>
          <w:color w:val="auto"/>
        </w:rPr>
        <w:t xml:space="preserve"> </w:t>
      </w:r>
      <w:r w:rsidR="00E76069" w:rsidRPr="00DE3690">
        <w:rPr>
          <w:rFonts w:asciiTheme="minorHAnsi" w:hAnsiTheme="minorHAnsi"/>
          <w:color w:val="auto"/>
        </w:rPr>
        <w:t xml:space="preserve">isoladamente </w:t>
      </w:r>
      <w:r w:rsidRPr="00DE3690">
        <w:rPr>
          <w:rFonts w:asciiTheme="minorHAnsi" w:hAnsiTheme="minorHAnsi"/>
          <w:color w:val="auto"/>
        </w:rPr>
        <w:t>e 40% (quarenta por cento) do PL para 7°, IV</w:t>
      </w:r>
      <w:r w:rsidR="00E76069" w:rsidRPr="00DE3690">
        <w:rPr>
          <w:rFonts w:asciiTheme="minorHAnsi" w:hAnsiTheme="minorHAnsi"/>
          <w:color w:val="auto"/>
        </w:rPr>
        <w:t xml:space="preserve">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E6560E" w:rsidRPr="00DE3690">
        <w:rPr>
          <w:rFonts w:asciiTheme="minorHAnsi" w:hAnsiTheme="minorHAnsi"/>
          <w:color w:val="auto"/>
        </w:rPr>
        <w:t>Limite da PI igual ao Limite da Res. CMN 3.922/10</w:t>
      </w:r>
    </w:p>
    <w:p w:rsidR="00DE3690" w:rsidRPr="00DE3690" w:rsidRDefault="00DE3690" w:rsidP="00F1083F">
      <w:pPr>
        <w:pStyle w:val="Ttulo3"/>
        <w:spacing w:before="0" w:after="0"/>
        <w:jc w:val="both"/>
        <w:rPr>
          <w:rFonts w:asciiTheme="minorHAnsi" w:hAnsiTheme="minorHAnsi"/>
          <w:szCs w:val="24"/>
          <w:lang w:val="pt-BR"/>
        </w:rPr>
      </w:pPr>
      <w:bookmarkStart w:id="29" w:name="_Toc525634191"/>
    </w:p>
    <w:p w:rsidR="00292BAE" w:rsidRPr="00DE3690" w:rsidRDefault="005E1FD5" w:rsidP="00F1083F">
      <w:pPr>
        <w:pStyle w:val="Ttulo3"/>
        <w:spacing w:before="0" w:after="0"/>
        <w:jc w:val="both"/>
        <w:rPr>
          <w:rFonts w:asciiTheme="minorHAnsi" w:hAnsiTheme="minorHAnsi"/>
          <w:b w:val="0"/>
          <w:szCs w:val="24"/>
          <w:lang w:val="pt-BR"/>
        </w:rPr>
      </w:pPr>
      <w:r w:rsidRPr="00DE3690">
        <w:rPr>
          <w:rFonts w:asciiTheme="minorHAnsi" w:hAnsiTheme="minorHAnsi"/>
          <w:szCs w:val="24"/>
          <w:lang w:val="pt-BR"/>
        </w:rPr>
        <w:t>b.</w:t>
      </w:r>
      <w:r w:rsidR="00DE3690" w:rsidRPr="00DE3690">
        <w:rPr>
          <w:rFonts w:asciiTheme="minorHAnsi" w:hAnsiTheme="minorHAnsi"/>
          <w:szCs w:val="24"/>
          <w:lang w:val="pt-BR"/>
        </w:rPr>
        <w:t>2</w:t>
      </w:r>
      <w:r w:rsidRPr="00DE3690">
        <w:rPr>
          <w:rFonts w:asciiTheme="minorHAnsi" w:hAnsiTheme="minorHAnsi"/>
          <w:szCs w:val="24"/>
          <w:lang w:val="pt-BR"/>
        </w:rPr>
        <w:t xml:space="preserve">) </w:t>
      </w:r>
      <w:r w:rsidR="00D05AAD" w:rsidRPr="00DE3690">
        <w:rPr>
          <w:rFonts w:asciiTheme="minorHAnsi" w:hAnsiTheme="minorHAnsi"/>
          <w:szCs w:val="24"/>
          <w:lang w:val="pt-BR"/>
        </w:rPr>
        <w:t xml:space="preserve">Fundos de Renda Fixa </w:t>
      </w:r>
      <w:r w:rsidR="00292BAE" w:rsidRPr="00DE3690">
        <w:rPr>
          <w:rFonts w:asciiTheme="minorHAnsi" w:hAnsiTheme="minorHAnsi"/>
          <w:szCs w:val="24"/>
          <w:lang w:val="pt-BR"/>
        </w:rPr>
        <w:t>Crédito Privado</w:t>
      </w:r>
      <w:bookmarkEnd w:id="29"/>
      <w:r w:rsidR="00F1083F" w:rsidRPr="00DE3690">
        <w:rPr>
          <w:rFonts w:asciiTheme="minorHAnsi" w:hAnsiTheme="minorHAnsi"/>
          <w:szCs w:val="24"/>
          <w:lang w:val="pt-BR"/>
        </w:rPr>
        <w:t xml:space="preserve">: </w:t>
      </w:r>
      <w:r w:rsidR="00D05AAD" w:rsidRPr="00DE3690">
        <w:rPr>
          <w:rFonts w:asciiTheme="minorHAnsi" w:hAnsiTheme="minorHAnsi"/>
          <w:b w:val="0"/>
          <w:szCs w:val="24"/>
          <w:lang w:val="pt-BR"/>
        </w:rPr>
        <w:t>F</w:t>
      </w:r>
      <w:r w:rsidR="00292BAE" w:rsidRPr="00DE3690">
        <w:rPr>
          <w:rFonts w:asciiTheme="minorHAnsi" w:hAnsiTheme="minorHAnsi"/>
          <w:b w:val="0"/>
          <w:szCs w:val="24"/>
          <w:lang w:val="pt-BR"/>
        </w:rPr>
        <w:t xml:space="preserve">undos de </w:t>
      </w:r>
      <w:r w:rsidR="00D05AAD" w:rsidRPr="00DE3690">
        <w:rPr>
          <w:rFonts w:asciiTheme="minorHAnsi" w:hAnsiTheme="minorHAnsi"/>
          <w:b w:val="0"/>
          <w:szCs w:val="24"/>
          <w:lang w:val="pt-BR"/>
        </w:rPr>
        <w:t>I</w:t>
      </w:r>
      <w:r w:rsidR="00292BAE" w:rsidRPr="00DE3690">
        <w:rPr>
          <w:rFonts w:asciiTheme="minorHAnsi" w:hAnsiTheme="minorHAnsi"/>
          <w:b w:val="0"/>
          <w:szCs w:val="24"/>
          <w:lang w:val="pt-BR"/>
        </w:rPr>
        <w:t>nvestimento classificados como renda fixa com sufixo “crédito privado” constituídos sob a forma de condomínio aberto</w:t>
      </w:r>
      <w:r w:rsidR="00D05AAD" w:rsidRPr="00DE3690">
        <w:rPr>
          <w:rFonts w:asciiTheme="minorHAnsi" w:hAnsiTheme="minorHAnsi"/>
          <w:b w:val="0"/>
          <w:szCs w:val="24"/>
          <w:lang w:val="pt-BR"/>
        </w:rPr>
        <w:t>, podendo alocar até 100% do seu capital em ativos de crédito privado.</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7°, VII, b</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5% (cinco por cento) do PL</w:t>
      </w:r>
      <w:r w:rsidR="00E76069" w:rsidRPr="00DE3690">
        <w:rPr>
          <w:rFonts w:asciiTheme="minorHAnsi" w:hAnsiTheme="minorHAnsi"/>
          <w:color w:val="auto"/>
        </w:rPr>
        <w:t xml:space="preserve">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621185" w:rsidRPr="00DE3690">
        <w:rPr>
          <w:rFonts w:asciiTheme="minorHAnsi" w:hAnsiTheme="minorHAnsi"/>
          <w:color w:val="auto"/>
        </w:rPr>
        <w:t>5% (cinco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E6560E" w:rsidRPr="00DE3690">
        <w:rPr>
          <w:rFonts w:asciiTheme="minorHAnsi" w:hAnsiTheme="minorHAnsi"/>
          <w:color w:val="auto"/>
        </w:rPr>
        <w:t>Limite da PI igual ao Limite da Res. CMN 3.922/10</w:t>
      </w:r>
    </w:p>
    <w:p w:rsidR="006F4380" w:rsidRPr="00DE3690" w:rsidRDefault="006F4380" w:rsidP="00F1083F">
      <w:pPr>
        <w:pStyle w:val="Default"/>
        <w:jc w:val="both"/>
        <w:rPr>
          <w:rFonts w:asciiTheme="minorHAnsi" w:hAnsiTheme="minorHAnsi"/>
          <w:color w:val="auto"/>
        </w:rPr>
      </w:pPr>
    </w:p>
    <w:p w:rsidR="00D05AAD" w:rsidRPr="00DE3690" w:rsidRDefault="005E1FD5" w:rsidP="00F1083F">
      <w:pPr>
        <w:pStyle w:val="Ttulo3"/>
        <w:spacing w:before="0" w:after="0"/>
        <w:jc w:val="both"/>
        <w:rPr>
          <w:rFonts w:asciiTheme="minorHAnsi" w:hAnsiTheme="minorHAnsi"/>
          <w:szCs w:val="24"/>
          <w:lang w:val="pt-BR"/>
        </w:rPr>
      </w:pPr>
      <w:bookmarkStart w:id="30" w:name="_Toc525634193"/>
      <w:r w:rsidRPr="00DE3690">
        <w:rPr>
          <w:rFonts w:asciiTheme="minorHAnsi" w:hAnsiTheme="minorHAnsi"/>
          <w:szCs w:val="24"/>
          <w:lang w:val="pt-BR"/>
        </w:rPr>
        <w:t>b.</w:t>
      </w:r>
      <w:r w:rsidR="00DE3690" w:rsidRPr="00DE3690">
        <w:rPr>
          <w:rFonts w:asciiTheme="minorHAnsi" w:hAnsiTheme="minorHAnsi"/>
          <w:szCs w:val="24"/>
          <w:lang w:val="pt-BR"/>
        </w:rPr>
        <w:t>3</w:t>
      </w:r>
      <w:r w:rsidRPr="00DE3690">
        <w:rPr>
          <w:rFonts w:asciiTheme="minorHAnsi" w:hAnsiTheme="minorHAnsi"/>
          <w:szCs w:val="24"/>
          <w:lang w:val="pt-BR"/>
        </w:rPr>
        <w:t xml:space="preserve">) </w:t>
      </w:r>
      <w:r w:rsidR="00D05AAD" w:rsidRPr="00DE3690">
        <w:rPr>
          <w:rFonts w:asciiTheme="minorHAnsi" w:hAnsiTheme="minorHAnsi"/>
          <w:szCs w:val="24"/>
          <w:lang w:val="pt-BR"/>
        </w:rPr>
        <w:t>FI em Debêntures de Infraestrutura</w:t>
      </w:r>
      <w:bookmarkEnd w:id="30"/>
      <w:r w:rsidR="00F1083F" w:rsidRPr="00DE3690">
        <w:rPr>
          <w:rFonts w:asciiTheme="minorHAnsi" w:hAnsiTheme="minorHAnsi"/>
          <w:szCs w:val="24"/>
          <w:lang w:val="pt-BR"/>
        </w:rPr>
        <w:t xml:space="preserve">: </w:t>
      </w:r>
      <w:r w:rsidR="00D05AAD" w:rsidRPr="00DE3690">
        <w:rPr>
          <w:rFonts w:asciiTheme="minorHAnsi" w:hAnsiTheme="minorHAnsi"/>
          <w:b w:val="0"/>
          <w:szCs w:val="24"/>
          <w:lang w:val="pt-BR"/>
        </w:rPr>
        <w:t>Cotas de fundo de investimento relacionados à captação de recursos com vistas em implementar projetos de investimento na área de infraestrutura.</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7°, VII, c</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5% (cinco por cento) do PL</w:t>
      </w:r>
      <w:r w:rsidR="00E76069" w:rsidRPr="00DE3690">
        <w:rPr>
          <w:rFonts w:asciiTheme="minorHAnsi" w:hAnsiTheme="minorHAnsi"/>
          <w:color w:val="auto"/>
        </w:rPr>
        <w:t xml:space="preserve">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345297" w:rsidRPr="00DE3690">
        <w:rPr>
          <w:rFonts w:asciiTheme="minorHAnsi" w:hAnsiTheme="minorHAnsi"/>
          <w:color w:val="auto"/>
        </w:rPr>
        <w:t>5% (cinco por cento) do PL isoladamente</w:t>
      </w:r>
    </w:p>
    <w:p w:rsidR="006F4380" w:rsidRPr="00DE3690" w:rsidRDefault="006F4380"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345297" w:rsidRPr="00DE3690">
        <w:rPr>
          <w:rFonts w:asciiTheme="minorHAnsi" w:hAnsiTheme="minorHAnsi"/>
          <w:color w:val="auto"/>
        </w:rPr>
        <w:t>Risco de Crédito, com ou sem garantia real e/ou fidejussória, limite de 5%, porém com análise criteriosa para alocação neste tipo de ativo.</w:t>
      </w:r>
    </w:p>
    <w:p w:rsidR="00155D21" w:rsidRDefault="00155D21" w:rsidP="00F1083F">
      <w:pPr>
        <w:pStyle w:val="Ttulo2"/>
        <w:spacing w:before="0"/>
        <w:rPr>
          <w:rFonts w:asciiTheme="minorHAnsi" w:hAnsiTheme="minorHAnsi"/>
          <w:i w:val="0"/>
          <w:szCs w:val="24"/>
          <w:lang w:val="pt-BR"/>
        </w:rPr>
      </w:pPr>
      <w:bookmarkStart w:id="31" w:name="_Toc525634194"/>
    </w:p>
    <w:p w:rsidR="00155D21" w:rsidRDefault="00155D21" w:rsidP="00F1083F">
      <w:pPr>
        <w:pStyle w:val="Ttulo2"/>
        <w:spacing w:before="0"/>
        <w:rPr>
          <w:rFonts w:asciiTheme="minorHAnsi" w:hAnsiTheme="minorHAnsi"/>
          <w:i w:val="0"/>
          <w:szCs w:val="24"/>
          <w:lang w:val="pt-BR"/>
        </w:rPr>
      </w:pPr>
    </w:p>
    <w:p w:rsidR="00155D21" w:rsidRDefault="00155D21" w:rsidP="00F1083F">
      <w:pPr>
        <w:pStyle w:val="Ttulo2"/>
        <w:spacing w:before="0"/>
        <w:rPr>
          <w:rFonts w:asciiTheme="minorHAnsi" w:hAnsiTheme="minorHAnsi"/>
          <w:i w:val="0"/>
          <w:szCs w:val="24"/>
          <w:lang w:val="pt-BR"/>
        </w:rPr>
      </w:pPr>
    </w:p>
    <w:p w:rsidR="00155D21" w:rsidRDefault="00155D21" w:rsidP="00F1083F">
      <w:pPr>
        <w:pStyle w:val="Ttulo2"/>
        <w:spacing w:before="0"/>
        <w:rPr>
          <w:rFonts w:asciiTheme="minorHAnsi" w:hAnsiTheme="minorHAnsi"/>
          <w:i w:val="0"/>
          <w:szCs w:val="24"/>
          <w:lang w:val="pt-BR"/>
        </w:rPr>
      </w:pPr>
    </w:p>
    <w:p w:rsidR="00155D21" w:rsidRDefault="00155D21" w:rsidP="00F1083F">
      <w:pPr>
        <w:pStyle w:val="Ttulo2"/>
        <w:spacing w:before="0"/>
        <w:rPr>
          <w:rFonts w:asciiTheme="minorHAnsi" w:hAnsiTheme="minorHAnsi"/>
          <w:i w:val="0"/>
          <w:szCs w:val="24"/>
          <w:lang w:val="pt-BR"/>
        </w:rPr>
      </w:pPr>
    </w:p>
    <w:p w:rsidR="00292BAE" w:rsidRPr="00DE3690" w:rsidRDefault="00292BAE" w:rsidP="00F1083F">
      <w:pPr>
        <w:pStyle w:val="Ttulo2"/>
        <w:spacing w:before="0"/>
        <w:rPr>
          <w:rStyle w:val="Ttulo3Char"/>
          <w:rFonts w:asciiTheme="minorHAnsi" w:hAnsiTheme="minorHAnsi"/>
          <w:i w:val="0"/>
          <w:szCs w:val="24"/>
          <w:lang w:val="pt-BR"/>
        </w:rPr>
      </w:pPr>
      <w:r w:rsidRPr="00DE3690">
        <w:rPr>
          <w:rFonts w:asciiTheme="minorHAnsi" w:hAnsiTheme="minorHAnsi"/>
          <w:i w:val="0"/>
          <w:szCs w:val="24"/>
          <w:lang w:val="pt-BR"/>
        </w:rPr>
        <w:t>C) Fundos de Renda Variável, Multimercados e Investimentos Estruturados</w:t>
      </w:r>
      <w:bookmarkEnd w:id="31"/>
      <w:r w:rsidR="00157FC4" w:rsidRPr="00DE3690">
        <w:rPr>
          <w:rFonts w:asciiTheme="minorHAnsi" w:hAnsiTheme="minorHAnsi"/>
          <w:i w:val="0"/>
          <w:szCs w:val="24"/>
          <w:lang w:val="pt-BR"/>
        </w:rPr>
        <w:t>:</w:t>
      </w:r>
    </w:p>
    <w:p w:rsidR="00155D21" w:rsidRDefault="00FA18B8" w:rsidP="00F1083F">
      <w:pPr>
        <w:pStyle w:val="Ttulo3"/>
        <w:spacing w:before="0" w:after="0"/>
        <w:jc w:val="both"/>
        <w:rPr>
          <w:rFonts w:asciiTheme="minorHAnsi" w:hAnsiTheme="minorHAnsi"/>
          <w:b w:val="0"/>
          <w:szCs w:val="24"/>
          <w:lang w:val="pt-BR"/>
        </w:rPr>
      </w:pPr>
      <w:bookmarkStart w:id="32" w:name="_Toc525634195"/>
      <w:r w:rsidRPr="00DE3690">
        <w:rPr>
          <w:rFonts w:asciiTheme="minorHAnsi" w:hAnsiTheme="minorHAnsi"/>
          <w:szCs w:val="24"/>
          <w:lang w:val="pt-BR"/>
        </w:rPr>
        <w:t xml:space="preserve">c.1) </w:t>
      </w:r>
      <w:r w:rsidR="00292BAE" w:rsidRPr="00DE3690">
        <w:rPr>
          <w:rFonts w:asciiTheme="minorHAnsi" w:hAnsiTheme="minorHAnsi"/>
          <w:szCs w:val="24"/>
          <w:lang w:val="pt-BR"/>
        </w:rPr>
        <w:t>Fundos de Índice de Ações ou Referenciados</w:t>
      </w:r>
      <w:bookmarkEnd w:id="32"/>
      <w:r w:rsidR="00F1083F" w:rsidRPr="00DE3690">
        <w:rPr>
          <w:rFonts w:asciiTheme="minorHAnsi" w:hAnsiTheme="minorHAnsi"/>
          <w:szCs w:val="24"/>
          <w:lang w:val="pt-BR"/>
        </w:rPr>
        <w:t xml:space="preserve">: </w:t>
      </w:r>
      <w:r w:rsidRPr="00DE3690">
        <w:rPr>
          <w:rFonts w:asciiTheme="minorHAnsi" w:hAnsiTheme="minorHAnsi"/>
          <w:b w:val="0"/>
          <w:szCs w:val="24"/>
          <w:lang w:val="pt-BR"/>
        </w:rPr>
        <w:t xml:space="preserve">O </w:t>
      </w:r>
      <w:r w:rsidR="00646827" w:rsidRPr="00DE3690">
        <w:rPr>
          <w:rFonts w:asciiTheme="minorHAnsi" w:hAnsiTheme="minorHAnsi"/>
          <w:b w:val="0"/>
          <w:szCs w:val="24"/>
          <w:lang w:val="pt-BR"/>
        </w:rPr>
        <w:t>IPESMUC</w:t>
      </w:r>
      <w:r w:rsidR="00157FC4" w:rsidRPr="00DE3690">
        <w:rPr>
          <w:rFonts w:asciiTheme="minorHAnsi" w:hAnsiTheme="minorHAnsi"/>
          <w:b w:val="0"/>
          <w:szCs w:val="24"/>
          <w:lang w:val="pt-BR"/>
        </w:rPr>
        <w:t xml:space="preserve"> </w:t>
      </w:r>
      <w:r w:rsidRPr="00DE3690">
        <w:rPr>
          <w:rFonts w:asciiTheme="minorHAnsi" w:hAnsiTheme="minorHAnsi"/>
          <w:b w:val="0"/>
          <w:szCs w:val="24"/>
          <w:lang w:val="pt-BR"/>
        </w:rPr>
        <w:t xml:space="preserve">poderá alocar os recursos em cotas de fundos de investimento em índice de mercado de renda variável, nos índices de renda variável divulgados e calculados pela B3 (Brasil, Bolsa Balcão). </w:t>
      </w:r>
    </w:p>
    <w:p w:rsidR="00FA18B8" w:rsidRPr="00DE3690" w:rsidRDefault="00FA18B8" w:rsidP="00F1083F">
      <w:pPr>
        <w:pStyle w:val="Ttulo3"/>
        <w:spacing w:before="0" w:after="0"/>
        <w:jc w:val="both"/>
        <w:rPr>
          <w:rFonts w:asciiTheme="minorHAnsi" w:hAnsiTheme="minorHAnsi"/>
          <w:b w:val="0"/>
          <w:szCs w:val="24"/>
          <w:lang w:val="pt-BR"/>
        </w:rPr>
      </w:pPr>
      <w:r w:rsidRPr="00DE3690">
        <w:rPr>
          <w:rFonts w:asciiTheme="minorHAnsi" w:hAnsiTheme="minorHAnsi"/>
          <w:b w:val="0"/>
          <w:szCs w:val="24"/>
          <w:lang w:val="pt-BR"/>
        </w:rPr>
        <w:t>Esse tipo de fundo faz o investimento em renda variável de forma passiva, ou seja, os fundos investidos são bastante correlacionados com o desempenho dos índices de bolsa de valores.</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xml:space="preserve">: </w:t>
      </w:r>
      <w:r w:rsidR="000051D8" w:rsidRPr="00DE3690">
        <w:rPr>
          <w:rFonts w:asciiTheme="minorHAnsi" w:hAnsiTheme="minorHAnsi"/>
          <w:color w:val="auto"/>
        </w:rPr>
        <w:t>8°, I, a | 8°, I, b</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xml:space="preserve">: </w:t>
      </w:r>
      <w:r w:rsidR="00644A85" w:rsidRPr="00DE3690">
        <w:rPr>
          <w:rFonts w:asciiTheme="minorHAnsi" w:hAnsiTheme="minorHAnsi"/>
          <w:color w:val="auto"/>
        </w:rPr>
        <w:t>30</w:t>
      </w:r>
      <w:r w:rsidRPr="00DE3690">
        <w:rPr>
          <w:rFonts w:asciiTheme="minorHAnsi" w:hAnsiTheme="minorHAnsi"/>
          <w:color w:val="auto"/>
        </w:rPr>
        <w:t>% (</w:t>
      </w:r>
      <w:r w:rsidR="00644A85" w:rsidRPr="00DE3690">
        <w:rPr>
          <w:rFonts w:asciiTheme="minorHAnsi" w:hAnsiTheme="minorHAnsi"/>
          <w:color w:val="auto"/>
        </w:rPr>
        <w:t>trinta</w:t>
      </w:r>
      <w:r w:rsidRPr="00DE3690">
        <w:rPr>
          <w:rFonts w:asciiTheme="minorHAnsi" w:hAnsiTheme="minorHAnsi"/>
          <w:color w:val="auto"/>
        </w:rPr>
        <w:t xml:space="preserve">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644A85" w:rsidRPr="00DE3690">
        <w:rPr>
          <w:rFonts w:asciiTheme="minorHAnsi" w:hAnsiTheme="minorHAnsi"/>
          <w:color w:val="auto"/>
        </w:rPr>
        <w:t>30% (trinta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644A85" w:rsidRPr="00DE3690">
        <w:rPr>
          <w:rFonts w:asciiTheme="minorHAnsi" w:hAnsiTheme="minorHAnsi"/>
          <w:color w:val="auto"/>
        </w:rPr>
        <w:t>Limite da PI igual ao Limite da Res. CMN 3.922/10</w:t>
      </w:r>
    </w:p>
    <w:p w:rsidR="00FA18B8" w:rsidRPr="00DE3690" w:rsidRDefault="00FA18B8" w:rsidP="00F1083F">
      <w:pPr>
        <w:spacing w:after="0" w:line="240" w:lineRule="auto"/>
        <w:rPr>
          <w:sz w:val="24"/>
          <w:szCs w:val="24"/>
        </w:rPr>
      </w:pPr>
    </w:p>
    <w:p w:rsidR="00FA18B8" w:rsidRPr="00DE3690" w:rsidRDefault="00FA18B8" w:rsidP="00157FC4">
      <w:pPr>
        <w:pStyle w:val="Ttulo3"/>
        <w:spacing w:before="0" w:after="0"/>
        <w:jc w:val="both"/>
        <w:rPr>
          <w:rFonts w:asciiTheme="minorHAnsi" w:hAnsiTheme="minorHAnsi"/>
          <w:b w:val="0"/>
          <w:szCs w:val="24"/>
          <w:lang w:val="pt-BR"/>
        </w:rPr>
      </w:pPr>
      <w:bookmarkStart w:id="33" w:name="_Toc525634196"/>
      <w:r w:rsidRPr="00DE3690">
        <w:rPr>
          <w:rFonts w:asciiTheme="minorHAnsi" w:hAnsiTheme="minorHAnsi"/>
          <w:szCs w:val="24"/>
          <w:lang w:val="pt-BR"/>
        </w:rPr>
        <w:t xml:space="preserve">c.2) </w:t>
      </w:r>
      <w:r w:rsidR="00292BAE" w:rsidRPr="00DE3690">
        <w:rPr>
          <w:rFonts w:asciiTheme="minorHAnsi" w:hAnsiTheme="minorHAnsi"/>
          <w:szCs w:val="24"/>
          <w:lang w:val="pt-BR"/>
        </w:rPr>
        <w:t>Fundos de Ações Abertos</w:t>
      </w:r>
      <w:bookmarkEnd w:id="33"/>
      <w:r w:rsidR="00157FC4" w:rsidRPr="00DE3690">
        <w:rPr>
          <w:rFonts w:asciiTheme="minorHAnsi" w:hAnsiTheme="minorHAnsi"/>
          <w:szCs w:val="24"/>
          <w:lang w:val="pt-BR"/>
        </w:rPr>
        <w:t xml:space="preserve">: </w:t>
      </w:r>
      <w:r w:rsidRPr="00DE3690">
        <w:rPr>
          <w:rFonts w:asciiTheme="minorHAnsi" w:hAnsiTheme="minorHAnsi"/>
          <w:b w:val="0"/>
          <w:szCs w:val="24"/>
          <w:lang w:val="pt-BR"/>
        </w:rPr>
        <w:t xml:space="preserve">O </w:t>
      </w:r>
      <w:r w:rsidR="00646827" w:rsidRPr="00DE3690">
        <w:rPr>
          <w:rFonts w:asciiTheme="minorHAnsi" w:hAnsiTheme="minorHAnsi"/>
          <w:b w:val="0"/>
          <w:szCs w:val="24"/>
          <w:lang w:val="pt-BR"/>
        </w:rPr>
        <w:t>IPESMUC</w:t>
      </w:r>
      <w:r w:rsidR="00157FC4" w:rsidRPr="00DE3690">
        <w:rPr>
          <w:rFonts w:asciiTheme="minorHAnsi" w:hAnsiTheme="minorHAnsi"/>
          <w:b w:val="0"/>
          <w:szCs w:val="24"/>
          <w:lang w:val="pt-BR"/>
        </w:rPr>
        <w:t xml:space="preserve"> </w:t>
      </w:r>
      <w:r w:rsidRPr="00DE3690">
        <w:rPr>
          <w:rFonts w:asciiTheme="minorHAnsi" w:hAnsiTheme="minorHAnsi"/>
          <w:b w:val="0"/>
          <w:szCs w:val="24"/>
          <w:lang w:val="pt-BR"/>
        </w:rPr>
        <w:t>poderá alocar os recursos em cotas de fundos de investimento constituídos sob a forma de condomínio aberto</w:t>
      </w:r>
      <w:r w:rsidR="00FD3EC6" w:rsidRPr="00DE3690">
        <w:rPr>
          <w:rFonts w:asciiTheme="minorHAnsi" w:hAnsiTheme="minorHAnsi"/>
          <w:b w:val="0"/>
          <w:szCs w:val="24"/>
          <w:lang w:val="pt-BR"/>
        </w:rPr>
        <w:t>, seguindo uma estratégia específica. Esse tipo de fundo faz o investimento em renda variável de forma ativa, ou seja, os fundos adotam estratégias de investimentos não necessariamente correlacionadas com o desempenho dos índices de bolsa de valores.</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xml:space="preserve">: </w:t>
      </w:r>
      <w:r w:rsidR="000051D8" w:rsidRPr="00DE3690">
        <w:rPr>
          <w:rFonts w:asciiTheme="minorHAnsi" w:hAnsiTheme="minorHAnsi"/>
          <w:color w:val="auto"/>
        </w:rPr>
        <w:t>8°, II, a | 8°, II, b</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xml:space="preserve">: </w:t>
      </w:r>
      <w:r w:rsidR="00644A85" w:rsidRPr="00DE3690">
        <w:rPr>
          <w:rFonts w:asciiTheme="minorHAnsi" w:hAnsiTheme="minorHAnsi"/>
          <w:color w:val="auto"/>
        </w:rPr>
        <w:t>20</w:t>
      </w:r>
      <w:r w:rsidRPr="00DE3690">
        <w:rPr>
          <w:rFonts w:asciiTheme="minorHAnsi" w:hAnsiTheme="minorHAnsi"/>
          <w:color w:val="auto"/>
        </w:rPr>
        <w:t>% (</w:t>
      </w:r>
      <w:r w:rsidR="00644A85" w:rsidRPr="00DE3690">
        <w:rPr>
          <w:rFonts w:asciiTheme="minorHAnsi" w:hAnsiTheme="minorHAnsi"/>
          <w:color w:val="auto"/>
        </w:rPr>
        <w:t>vinte</w:t>
      </w:r>
      <w:r w:rsidRPr="00DE3690">
        <w:rPr>
          <w:rFonts w:asciiTheme="minorHAnsi" w:hAnsiTheme="minorHAnsi"/>
          <w:color w:val="auto"/>
        </w:rPr>
        <w:t xml:space="preserve">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644A85" w:rsidRPr="00DE3690">
        <w:rPr>
          <w:rFonts w:asciiTheme="minorHAnsi" w:hAnsiTheme="minorHAnsi"/>
          <w:color w:val="auto"/>
        </w:rPr>
        <w:t>20% (vinte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644A85" w:rsidRPr="00DE3690">
        <w:rPr>
          <w:rFonts w:asciiTheme="minorHAnsi" w:hAnsiTheme="minorHAnsi"/>
          <w:color w:val="auto"/>
        </w:rPr>
        <w:t>Limite da PI igual ao Limite da Res. CMN 3.922/10</w:t>
      </w:r>
    </w:p>
    <w:p w:rsidR="00FA18B8" w:rsidRPr="00DE3690" w:rsidRDefault="00FA18B8" w:rsidP="00F1083F">
      <w:pPr>
        <w:spacing w:after="0" w:line="240" w:lineRule="auto"/>
        <w:rPr>
          <w:sz w:val="24"/>
          <w:szCs w:val="24"/>
        </w:rPr>
      </w:pPr>
    </w:p>
    <w:p w:rsidR="00FD3EC6" w:rsidRPr="00DE3690" w:rsidRDefault="00FA18B8" w:rsidP="00157FC4">
      <w:pPr>
        <w:pStyle w:val="Ttulo3"/>
        <w:spacing w:before="0" w:after="0"/>
        <w:jc w:val="both"/>
        <w:rPr>
          <w:rFonts w:asciiTheme="minorHAnsi" w:hAnsiTheme="minorHAnsi"/>
          <w:b w:val="0"/>
          <w:szCs w:val="24"/>
          <w:lang w:val="pt-BR"/>
        </w:rPr>
      </w:pPr>
      <w:bookmarkStart w:id="34" w:name="_Toc525634197"/>
      <w:r w:rsidRPr="00DE3690">
        <w:rPr>
          <w:rFonts w:asciiTheme="minorHAnsi" w:hAnsiTheme="minorHAnsi"/>
          <w:szCs w:val="24"/>
          <w:lang w:val="pt-BR"/>
        </w:rPr>
        <w:t xml:space="preserve">c.3) </w:t>
      </w:r>
      <w:r w:rsidR="00292BAE" w:rsidRPr="00DE3690">
        <w:rPr>
          <w:rFonts w:asciiTheme="minorHAnsi" w:hAnsiTheme="minorHAnsi"/>
          <w:szCs w:val="24"/>
          <w:lang w:val="pt-BR"/>
        </w:rPr>
        <w:t>Fundos Multimercados</w:t>
      </w:r>
      <w:bookmarkEnd w:id="34"/>
      <w:r w:rsidR="00157FC4" w:rsidRPr="00DE3690">
        <w:rPr>
          <w:rFonts w:asciiTheme="minorHAnsi" w:hAnsiTheme="minorHAnsi"/>
          <w:szCs w:val="24"/>
          <w:lang w:val="pt-BR"/>
        </w:rPr>
        <w:t xml:space="preserve">: </w:t>
      </w:r>
      <w:r w:rsidR="00292BAE" w:rsidRPr="00DE3690">
        <w:rPr>
          <w:rFonts w:asciiTheme="minorHAnsi" w:hAnsiTheme="minorHAnsi"/>
          <w:b w:val="0"/>
          <w:szCs w:val="24"/>
          <w:lang w:val="pt-BR"/>
        </w:rPr>
        <w:t xml:space="preserve">O </w:t>
      </w:r>
      <w:r w:rsidR="00646827" w:rsidRPr="00DE3690">
        <w:rPr>
          <w:rFonts w:asciiTheme="minorHAnsi" w:hAnsiTheme="minorHAnsi"/>
          <w:b w:val="0"/>
          <w:szCs w:val="24"/>
          <w:lang w:val="pt-BR"/>
        </w:rPr>
        <w:t>IPESMUC</w:t>
      </w:r>
      <w:r w:rsidR="00157FC4" w:rsidRPr="00DE3690">
        <w:rPr>
          <w:rFonts w:asciiTheme="minorHAnsi" w:hAnsiTheme="minorHAnsi"/>
          <w:b w:val="0"/>
          <w:szCs w:val="24"/>
          <w:lang w:val="pt-BR"/>
        </w:rPr>
        <w:t xml:space="preserve"> </w:t>
      </w:r>
      <w:r w:rsidR="00292BAE" w:rsidRPr="00DE3690">
        <w:rPr>
          <w:rFonts w:asciiTheme="minorHAnsi" w:hAnsiTheme="minorHAnsi"/>
          <w:b w:val="0"/>
          <w:szCs w:val="24"/>
          <w:lang w:val="pt-BR"/>
        </w:rPr>
        <w:t xml:space="preserve">poderá alocar os recursos em cotas de fundos de investimento </w:t>
      </w:r>
      <w:r w:rsidR="00FD3EC6" w:rsidRPr="00DE3690">
        <w:rPr>
          <w:rFonts w:asciiTheme="minorHAnsi" w:hAnsiTheme="minorHAnsi"/>
          <w:b w:val="0"/>
          <w:szCs w:val="24"/>
          <w:lang w:val="pt-BR"/>
        </w:rPr>
        <w:t>multimercados, que pode aplicar os seus recursos em todas as modalidades de ativos financeiros permitidos pela legislação, inclusive cotas de fundos de investimento e ativos no exterior. Entretanto deve-se observar que os fundos ou classes investidas devem seguir as diretrizes da Res. CMN nº 3.922/10 e nº 4.604/17, e não podem aplicar em fundos desenquadrados perante esta legislação.</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xml:space="preserve">: </w:t>
      </w:r>
      <w:r w:rsidR="000051D8" w:rsidRPr="00DE3690">
        <w:rPr>
          <w:rFonts w:asciiTheme="minorHAnsi" w:hAnsiTheme="minorHAnsi"/>
          <w:color w:val="auto"/>
        </w:rPr>
        <w:t>8°, III</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xml:space="preserve">: </w:t>
      </w:r>
      <w:r w:rsidR="00644A85" w:rsidRPr="00DE3690">
        <w:rPr>
          <w:rFonts w:asciiTheme="minorHAnsi" w:hAnsiTheme="minorHAnsi"/>
          <w:color w:val="auto"/>
        </w:rPr>
        <w:t>10</w:t>
      </w:r>
      <w:r w:rsidRPr="00DE3690">
        <w:rPr>
          <w:rFonts w:asciiTheme="minorHAnsi" w:hAnsiTheme="minorHAnsi"/>
          <w:color w:val="auto"/>
        </w:rPr>
        <w:t>% (</w:t>
      </w:r>
      <w:r w:rsidR="00644A85" w:rsidRPr="00DE3690">
        <w:rPr>
          <w:rFonts w:asciiTheme="minorHAnsi" w:hAnsiTheme="minorHAnsi"/>
          <w:color w:val="auto"/>
        </w:rPr>
        <w:t>dez</w:t>
      </w:r>
      <w:r w:rsidRPr="00DE3690">
        <w:rPr>
          <w:rFonts w:asciiTheme="minorHAnsi" w:hAnsiTheme="minorHAnsi"/>
          <w:color w:val="auto"/>
        </w:rPr>
        <w:t xml:space="preserve">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644A85" w:rsidRPr="00DE3690">
        <w:rPr>
          <w:rFonts w:asciiTheme="minorHAnsi" w:hAnsiTheme="minorHAnsi"/>
          <w:color w:val="auto"/>
        </w:rPr>
        <w:t>10% (dez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644A85" w:rsidRPr="00DE3690">
        <w:rPr>
          <w:rFonts w:asciiTheme="minorHAnsi" w:hAnsiTheme="minorHAnsi"/>
          <w:color w:val="auto"/>
        </w:rPr>
        <w:t>Limite da PI igual ao Limite da Res. CMN 3.922/10</w:t>
      </w:r>
    </w:p>
    <w:p w:rsidR="00292BAE" w:rsidRPr="00DE3690" w:rsidRDefault="00292BAE" w:rsidP="00F1083F">
      <w:pPr>
        <w:pStyle w:val="Default"/>
        <w:jc w:val="both"/>
        <w:rPr>
          <w:rFonts w:asciiTheme="minorHAnsi" w:hAnsiTheme="minorHAnsi"/>
          <w:color w:val="auto"/>
        </w:rPr>
      </w:pPr>
    </w:p>
    <w:p w:rsidR="00292BAE" w:rsidRPr="00DE3690" w:rsidRDefault="00292BAE" w:rsidP="00F1083F">
      <w:pPr>
        <w:pStyle w:val="Ttulo2"/>
        <w:spacing w:before="0"/>
        <w:rPr>
          <w:rFonts w:asciiTheme="minorHAnsi" w:hAnsiTheme="minorHAnsi"/>
          <w:i w:val="0"/>
          <w:szCs w:val="24"/>
          <w:lang w:val="pt-BR"/>
        </w:rPr>
      </w:pPr>
      <w:bookmarkStart w:id="35" w:name="_Toc525634198"/>
      <w:r w:rsidRPr="00DE3690">
        <w:rPr>
          <w:rFonts w:asciiTheme="minorHAnsi" w:hAnsiTheme="minorHAnsi"/>
          <w:i w:val="0"/>
          <w:szCs w:val="24"/>
          <w:lang w:val="pt-BR"/>
        </w:rPr>
        <w:t>D) Fundos Estruturados – Imobiliários e Participações</w:t>
      </w:r>
      <w:bookmarkEnd w:id="35"/>
      <w:r w:rsidR="00157FC4" w:rsidRPr="00DE3690">
        <w:rPr>
          <w:rFonts w:asciiTheme="minorHAnsi" w:hAnsiTheme="minorHAnsi"/>
          <w:i w:val="0"/>
          <w:szCs w:val="24"/>
          <w:lang w:val="pt-BR"/>
        </w:rPr>
        <w:t>:</w:t>
      </w:r>
    </w:p>
    <w:p w:rsidR="00292BAE" w:rsidRPr="00DE3690" w:rsidRDefault="00292BAE" w:rsidP="00F1083F">
      <w:pPr>
        <w:pStyle w:val="Default"/>
        <w:jc w:val="both"/>
        <w:rPr>
          <w:rFonts w:asciiTheme="minorHAnsi" w:hAnsiTheme="minorHAnsi"/>
          <w:color w:val="auto"/>
        </w:rPr>
      </w:pPr>
      <w:r w:rsidRPr="00DE3690">
        <w:rPr>
          <w:rFonts w:asciiTheme="minorHAnsi" w:hAnsiTheme="minorHAnsi"/>
          <w:color w:val="auto"/>
        </w:rPr>
        <w:t xml:space="preserve">Nos </w:t>
      </w:r>
      <w:proofErr w:type="spellStart"/>
      <w:r w:rsidRPr="00DE3690">
        <w:rPr>
          <w:rFonts w:asciiTheme="minorHAnsi" w:hAnsiTheme="minorHAnsi"/>
          <w:color w:val="auto"/>
        </w:rPr>
        <w:t>FIIs</w:t>
      </w:r>
      <w:proofErr w:type="spellEnd"/>
      <w:r w:rsidRPr="00DE3690">
        <w:rPr>
          <w:rFonts w:asciiTheme="minorHAnsi" w:hAnsiTheme="minorHAnsi"/>
          <w:color w:val="auto"/>
        </w:rPr>
        <w:t xml:space="preserve"> (Fundos de Investimentos Imobiliários) e nos </w:t>
      </w:r>
      <w:proofErr w:type="spellStart"/>
      <w:r w:rsidRPr="00DE3690">
        <w:rPr>
          <w:rFonts w:asciiTheme="minorHAnsi" w:hAnsiTheme="minorHAnsi"/>
          <w:color w:val="auto"/>
        </w:rPr>
        <w:t>FIPs</w:t>
      </w:r>
      <w:proofErr w:type="spellEnd"/>
      <w:r w:rsidRPr="00DE3690">
        <w:rPr>
          <w:rFonts w:asciiTheme="minorHAnsi" w:hAnsiTheme="minorHAnsi"/>
          <w:color w:val="auto"/>
        </w:rPr>
        <w:t xml:space="preserve"> (Fundos de Investimentos em Participações), a fim de conhecer em detalhes a estrutura do produto, deverá ser realizada análise do investimento evidenciando a formatação da sua estrutura, foco setorial dos ativos que o compõem, a iliquidez, e demais riscos pertinentes ao seguimento de ativos Investimentos Estruturados. Havendo necessidade, poderá ser realizado processo de </w:t>
      </w:r>
      <w:proofErr w:type="spellStart"/>
      <w:r w:rsidRPr="00DE3690">
        <w:rPr>
          <w:rFonts w:asciiTheme="minorHAnsi" w:hAnsiTheme="minorHAnsi"/>
          <w:iCs/>
          <w:color w:val="auto"/>
        </w:rPr>
        <w:t>DueDiligence</w:t>
      </w:r>
      <w:proofErr w:type="spellEnd"/>
      <w:r w:rsidRPr="00DE3690">
        <w:rPr>
          <w:rFonts w:asciiTheme="minorHAnsi" w:hAnsiTheme="minorHAnsi"/>
          <w:color w:val="auto"/>
        </w:rPr>
        <w:t>.</w:t>
      </w:r>
    </w:p>
    <w:p w:rsidR="00FA18B8" w:rsidRPr="00DE3690" w:rsidRDefault="00FA18B8" w:rsidP="00F1083F">
      <w:pPr>
        <w:pStyle w:val="Default"/>
        <w:jc w:val="both"/>
        <w:rPr>
          <w:rFonts w:asciiTheme="minorHAnsi" w:hAnsiTheme="minorHAnsi"/>
          <w:color w:val="auto"/>
        </w:rPr>
      </w:pPr>
    </w:p>
    <w:p w:rsidR="00155D21" w:rsidRDefault="00155D21" w:rsidP="00157FC4">
      <w:pPr>
        <w:pStyle w:val="Ttulo3"/>
        <w:spacing w:before="0" w:after="0"/>
        <w:jc w:val="both"/>
        <w:rPr>
          <w:rFonts w:asciiTheme="minorHAnsi" w:hAnsiTheme="minorHAnsi"/>
          <w:szCs w:val="24"/>
          <w:lang w:val="pt-BR"/>
        </w:rPr>
      </w:pPr>
      <w:bookmarkStart w:id="36" w:name="_Toc525634199"/>
    </w:p>
    <w:p w:rsidR="00155D21" w:rsidRDefault="00155D21" w:rsidP="00157FC4">
      <w:pPr>
        <w:pStyle w:val="Ttulo3"/>
        <w:spacing w:before="0" w:after="0"/>
        <w:jc w:val="both"/>
        <w:rPr>
          <w:rFonts w:asciiTheme="minorHAnsi" w:hAnsiTheme="minorHAnsi"/>
          <w:szCs w:val="24"/>
          <w:lang w:val="pt-BR"/>
        </w:rPr>
      </w:pPr>
    </w:p>
    <w:p w:rsidR="00155D21" w:rsidRDefault="00155D21" w:rsidP="00157FC4">
      <w:pPr>
        <w:pStyle w:val="Ttulo3"/>
        <w:spacing w:before="0" w:after="0"/>
        <w:jc w:val="both"/>
        <w:rPr>
          <w:rFonts w:asciiTheme="minorHAnsi" w:hAnsiTheme="minorHAnsi"/>
          <w:szCs w:val="24"/>
          <w:lang w:val="pt-BR"/>
        </w:rPr>
      </w:pPr>
    </w:p>
    <w:p w:rsidR="00155D21" w:rsidRDefault="00155D21" w:rsidP="00157FC4">
      <w:pPr>
        <w:pStyle w:val="Ttulo3"/>
        <w:spacing w:before="0" w:after="0"/>
        <w:jc w:val="both"/>
        <w:rPr>
          <w:rFonts w:asciiTheme="minorHAnsi" w:hAnsiTheme="minorHAnsi"/>
          <w:szCs w:val="24"/>
          <w:lang w:val="pt-BR"/>
        </w:rPr>
      </w:pPr>
    </w:p>
    <w:p w:rsidR="00155D21" w:rsidRDefault="00155D21" w:rsidP="00157FC4">
      <w:pPr>
        <w:pStyle w:val="Ttulo3"/>
        <w:spacing w:before="0" w:after="0"/>
        <w:jc w:val="both"/>
        <w:rPr>
          <w:rFonts w:asciiTheme="minorHAnsi" w:hAnsiTheme="minorHAnsi"/>
          <w:szCs w:val="24"/>
          <w:lang w:val="pt-BR"/>
        </w:rPr>
      </w:pPr>
    </w:p>
    <w:p w:rsidR="00155D21" w:rsidRDefault="00FA18B8" w:rsidP="00157FC4">
      <w:pPr>
        <w:pStyle w:val="Ttulo3"/>
        <w:spacing w:before="0" w:after="0"/>
        <w:jc w:val="both"/>
        <w:rPr>
          <w:rFonts w:asciiTheme="minorHAnsi" w:hAnsiTheme="minorHAnsi"/>
          <w:b w:val="0"/>
          <w:szCs w:val="24"/>
          <w:lang w:val="pt-BR"/>
        </w:rPr>
      </w:pPr>
      <w:r w:rsidRPr="00DE3690">
        <w:rPr>
          <w:rFonts w:asciiTheme="minorHAnsi" w:hAnsiTheme="minorHAnsi"/>
          <w:szCs w:val="24"/>
          <w:lang w:val="pt-BR"/>
        </w:rPr>
        <w:t>d.1) FII – Fundos Imobiliários</w:t>
      </w:r>
      <w:bookmarkEnd w:id="36"/>
      <w:r w:rsidR="00157FC4" w:rsidRPr="00DE3690">
        <w:rPr>
          <w:rFonts w:asciiTheme="minorHAnsi" w:hAnsiTheme="minorHAnsi"/>
          <w:szCs w:val="24"/>
          <w:lang w:val="pt-BR"/>
        </w:rPr>
        <w:t xml:space="preserve">: </w:t>
      </w:r>
      <w:r w:rsidRPr="00DE3690">
        <w:rPr>
          <w:rFonts w:asciiTheme="minorHAnsi" w:hAnsiTheme="minorHAnsi"/>
          <w:b w:val="0"/>
          <w:szCs w:val="24"/>
          <w:lang w:val="pt-BR"/>
        </w:rPr>
        <w:t xml:space="preserve">O objetivo dos Fundos Imobiliários é auferir ganhos mediante locação, arrendamento, alienação das unidades do empreendimento ou incorporação e/ou construção. As cotas dos fundos de investimento imobiliários são remuneradas com base no desempenho do empreendimento. São constituídos sob a forma de condomínio fechado e suas cotas são negociadas em bolsa de valores. </w:t>
      </w:r>
    </w:p>
    <w:p w:rsidR="00FA18B8" w:rsidRPr="00DE3690" w:rsidRDefault="00FA18B8" w:rsidP="00157FC4">
      <w:pPr>
        <w:pStyle w:val="Ttulo3"/>
        <w:spacing w:before="0" w:after="0"/>
        <w:jc w:val="both"/>
        <w:rPr>
          <w:rFonts w:asciiTheme="minorHAnsi" w:hAnsiTheme="minorHAnsi"/>
          <w:b w:val="0"/>
          <w:szCs w:val="24"/>
          <w:lang w:val="pt-BR"/>
        </w:rPr>
      </w:pPr>
      <w:r w:rsidRPr="00DE3690">
        <w:rPr>
          <w:rFonts w:asciiTheme="minorHAnsi" w:hAnsiTheme="minorHAnsi"/>
          <w:b w:val="0"/>
          <w:szCs w:val="24"/>
          <w:lang w:val="pt-BR"/>
        </w:rPr>
        <w:t>Também é obrigado a investir 75% de seu patrimônio em bens ou direitos imobiliários (comerciais, residenciais etc.) e o restante em outros ativos.</w:t>
      </w:r>
      <w:r w:rsidR="00157FC4" w:rsidRPr="00DE3690">
        <w:rPr>
          <w:rFonts w:asciiTheme="minorHAnsi" w:hAnsiTheme="minorHAnsi"/>
          <w:b w:val="0"/>
          <w:szCs w:val="24"/>
          <w:lang w:val="pt-BR"/>
        </w:rPr>
        <w:t xml:space="preserve"> </w:t>
      </w:r>
      <w:r w:rsidRPr="00DE3690">
        <w:rPr>
          <w:rFonts w:asciiTheme="minorHAnsi" w:hAnsiTheme="minorHAnsi"/>
          <w:b w:val="0"/>
          <w:szCs w:val="24"/>
          <w:lang w:val="pt-BR"/>
        </w:rPr>
        <w:t>Em relação aos FII, esses deverão ter presença em 60% (sessenta por cento) nos pregões de negociação em mercados regulamentados de valores mobiliários no período de doze meses anteriormente à aplicação, conforme disposto na Res. CMN nº 3.922/10 e nº 4.604/17.</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Enquadramento</w:t>
      </w:r>
      <w:r w:rsidRPr="00DE3690">
        <w:rPr>
          <w:rFonts w:asciiTheme="minorHAnsi" w:hAnsiTheme="minorHAnsi"/>
          <w:color w:val="auto"/>
        </w:rPr>
        <w:t xml:space="preserve">: </w:t>
      </w:r>
      <w:r w:rsidR="000051D8" w:rsidRPr="00DE3690">
        <w:rPr>
          <w:rFonts w:asciiTheme="minorHAnsi" w:hAnsiTheme="minorHAnsi"/>
          <w:color w:val="auto"/>
        </w:rPr>
        <w:t>8°, IV, b</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Res. CMN 3.922/10</w:t>
      </w:r>
      <w:r w:rsidRPr="00DE3690">
        <w:rPr>
          <w:rFonts w:asciiTheme="minorHAnsi" w:hAnsiTheme="minorHAnsi"/>
          <w:color w:val="auto"/>
        </w:rPr>
        <w:t>: 5% (cinco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Limite Política de Investimentos</w:t>
      </w:r>
      <w:r w:rsidRPr="00DE3690">
        <w:rPr>
          <w:rFonts w:asciiTheme="minorHAnsi" w:hAnsiTheme="minorHAnsi"/>
          <w:color w:val="auto"/>
        </w:rPr>
        <w:t xml:space="preserve">: </w:t>
      </w:r>
      <w:r w:rsidR="000051D8" w:rsidRPr="00DE3690">
        <w:rPr>
          <w:rFonts w:asciiTheme="minorHAnsi" w:hAnsiTheme="minorHAnsi"/>
          <w:color w:val="auto"/>
        </w:rPr>
        <w:t>5% (cinco por cento) do PL isoladamente</w:t>
      </w:r>
    </w:p>
    <w:p w:rsidR="00FD3EC6" w:rsidRPr="00DE3690" w:rsidRDefault="00FD3EC6" w:rsidP="00F1083F">
      <w:pPr>
        <w:pStyle w:val="Default"/>
        <w:jc w:val="both"/>
        <w:rPr>
          <w:rFonts w:asciiTheme="minorHAnsi" w:hAnsiTheme="minorHAnsi"/>
          <w:color w:val="auto"/>
        </w:rPr>
      </w:pPr>
      <w:r w:rsidRPr="00DE3690">
        <w:rPr>
          <w:rFonts w:asciiTheme="minorHAnsi" w:hAnsiTheme="minorHAnsi"/>
          <w:color w:val="auto"/>
          <w:u w:val="single"/>
        </w:rPr>
        <w:t>Justificativa</w:t>
      </w:r>
      <w:r w:rsidRPr="00DE3690">
        <w:rPr>
          <w:rFonts w:asciiTheme="minorHAnsi" w:hAnsiTheme="minorHAnsi"/>
          <w:color w:val="auto"/>
        </w:rPr>
        <w:t xml:space="preserve">: </w:t>
      </w:r>
      <w:r w:rsidR="00644A85" w:rsidRPr="00DE3690">
        <w:rPr>
          <w:rFonts w:asciiTheme="minorHAnsi" w:hAnsiTheme="minorHAnsi"/>
          <w:color w:val="auto"/>
        </w:rPr>
        <w:t>Limite da PI igual ao Limite da Res. CMN 3.922/10</w:t>
      </w:r>
    </w:p>
    <w:p w:rsidR="00FA18B8" w:rsidRPr="00DE3690" w:rsidRDefault="00FA18B8" w:rsidP="00F1083F">
      <w:pPr>
        <w:pStyle w:val="Default"/>
        <w:jc w:val="both"/>
        <w:rPr>
          <w:rFonts w:asciiTheme="minorHAnsi" w:hAnsiTheme="minorHAnsi"/>
          <w:color w:val="auto"/>
        </w:rPr>
      </w:pPr>
    </w:p>
    <w:p w:rsidR="00053E79" w:rsidRPr="00DE3690" w:rsidRDefault="00053E79" w:rsidP="00157FC4">
      <w:pPr>
        <w:pStyle w:val="Ttulo1"/>
        <w:spacing w:before="0" w:after="0"/>
        <w:rPr>
          <w:rFonts w:asciiTheme="minorHAnsi" w:eastAsiaTheme="minorHAnsi" w:hAnsiTheme="minorHAnsi"/>
          <w:bCs w:val="0"/>
          <w:caps/>
          <w:kern w:val="0"/>
          <w:sz w:val="24"/>
          <w:szCs w:val="24"/>
          <w:lang w:val="pt-BR"/>
        </w:rPr>
      </w:pPr>
      <w:bookmarkStart w:id="37" w:name="_Toc525634201"/>
      <w:r w:rsidRPr="00DE3690">
        <w:rPr>
          <w:rFonts w:asciiTheme="minorHAnsi" w:eastAsiaTheme="minorHAnsi" w:hAnsiTheme="minorHAnsi"/>
          <w:bCs w:val="0"/>
          <w:caps/>
          <w:kern w:val="0"/>
          <w:sz w:val="24"/>
          <w:szCs w:val="24"/>
          <w:lang w:val="pt-BR"/>
        </w:rPr>
        <w:t xml:space="preserve">V </w:t>
      </w:r>
      <w:r w:rsidR="00EB585E" w:rsidRPr="00DE3690">
        <w:rPr>
          <w:rFonts w:asciiTheme="minorHAnsi" w:eastAsiaTheme="minorHAnsi" w:hAnsiTheme="minorHAnsi"/>
          <w:bCs w:val="0"/>
          <w:caps/>
          <w:kern w:val="0"/>
          <w:sz w:val="24"/>
          <w:szCs w:val="24"/>
          <w:lang w:val="pt-BR"/>
        </w:rPr>
        <w:t>–PROCESSO DE INVESTIMENTOS</w:t>
      </w:r>
      <w:bookmarkEnd w:id="37"/>
    </w:p>
    <w:p w:rsidR="00053E79" w:rsidRPr="00DE3690" w:rsidRDefault="00053E79" w:rsidP="00157FC4">
      <w:pPr>
        <w:pStyle w:val="Default"/>
        <w:jc w:val="both"/>
        <w:rPr>
          <w:rFonts w:asciiTheme="minorHAnsi" w:hAnsiTheme="minorHAnsi"/>
          <w:color w:val="auto"/>
        </w:rPr>
      </w:pPr>
      <w:r w:rsidRPr="00DE3690">
        <w:rPr>
          <w:rFonts w:asciiTheme="minorHAnsi" w:hAnsiTheme="minorHAnsi"/>
          <w:color w:val="auto"/>
        </w:rPr>
        <w:t xml:space="preserve">A seleção dos produtos é de competência da Diretoria do </w:t>
      </w:r>
      <w:r w:rsidR="00646827" w:rsidRPr="00DE3690">
        <w:rPr>
          <w:rFonts w:asciiTheme="minorHAnsi" w:hAnsiTheme="minorHAnsi"/>
          <w:color w:val="auto"/>
        </w:rPr>
        <w:t>IPESMUC</w:t>
      </w:r>
      <w:r w:rsidR="00633BD9" w:rsidRPr="00DE3690">
        <w:rPr>
          <w:rFonts w:asciiTheme="minorHAnsi" w:hAnsiTheme="minorHAnsi"/>
          <w:color w:val="auto"/>
        </w:rPr>
        <w:t xml:space="preserve"> ou do próprio comitê de investimentos</w:t>
      </w:r>
      <w:r w:rsidRPr="00DE3690">
        <w:rPr>
          <w:rFonts w:asciiTheme="minorHAnsi" w:hAnsiTheme="minorHAnsi"/>
          <w:color w:val="auto"/>
        </w:rPr>
        <w:t xml:space="preserve">, </w:t>
      </w:r>
      <w:r w:rsidR="007257CF" w:rsidRPr="00DE3690">
        <w:rPr>
          <w:rFonts w:asciiTheme="minorHAnsi" w:hAnsiTheme="minorHAnsi"/>
          <w:color w:val="auto"/>
        </w:rPr>
        <w:t>que a fim de cumprir esta política, devem submeter à consultoria de investimentos contratada, que por sua vez deverá submeter relatório com as seguintes análises</w:t>
      </w:r>
      <w:r w:rsidRPr="00DE3690">
        <w:rPr>
          <w:rFonts w:asciiTheme="minorHAnsi" w:hAnsiTheme="minorHAnsi"/>
          <w:color w:val="auto"/>
        </w:rPr>
        <w:t xml:space="preserve"> a fim de subsidiar a decisão de investimento</w:t>
      </w:r>
      <w:r w:rsidR="007257CF" w:rsidRPr="00DE3690">
        <w:rPr>
          <w:rFonts w:asciiTheme="minorHAnsi" w:hAnsiTheme="minorHAnsi"/>
          <w:color w:val="auto"/>
        </w:rPr>
        <w:t>:</w:t>
      </w:r>
    </w:p>
    <w:p w:rsidR="00644A85" w:rsidRPr="00DE3690" w:rsidRDefault="00644A85" w:rsidP="00157FC4">
      <w:pPr>
        <w:spacing w:after="0" w:line="240" w:lineRule="auto"/>
        <w:jc w:val="both"/>
        <w:rPr>
          <w:rFonts w:cstheme="minorHAnsi"/>
          <w:sz w:val="24"/>
          <w:szCs w:val="24"/>
        </w:rPr>
      </w:pPr>
    </w:p>
    <w:p w:rsidR="00D91B71" w:rsidRPr="00DE3690" w:rsidRDefault="00D91B71" w:rsidP="00157FC4">
      <w:pPr>
        <w:pStyle w:val="Ttulo2"/>
        <w:spacing w:before="0"/>
        <w:rPr>
          <w:rFonts w:asciiTheme="minorHAnsi" w:hAnsiTheme="minorHAnsi"/>
          <w:i w:val="0"/>
          <w:szCs w:val="24"/>
          <w:lang w:val="pt-BR"/>
        </w:rPr>
      </w:pPr>
      <w:bookmarkStart w:id="38" w:name="_Toc525634202"/>
      <w:r w:rsidRPr="00DE3690">
        <w:rPr>
          <w:rFonts w:asciiTheme="minorHAnsi" w:hAnsiTheme="minorHAnsi"/>
          <w:i w:val="0"/>
          <w:szCs w:val="24"/>
          <w:lang w:val="pt-BR"/>
        </w:rPr>
        <w:t>Investimentos com características de mercado</w:t>
      </w:r>
      <w:bookmarkEnd w:id="38"/>
      <w:r w:rsidR="00157FC4" w:rsidRPr="00DE3690">
        <w:rPr>
          <w:rFonts w:asciiTheme="minorHAnsi" w:hAnsiTheme="minorHAnsi"/>
          <w:i w:val="0"/>
          <w:szCs w:val="24"/>
          <w:lang w:val="pt-BR"/>
        </w:rPr>
        <w:t>:</w:t>
      </w:r>
    </w:p>
    <w:p w:rsidR="00EA11CD" w:rsidRPr="00DE3690" w:rsidRDefault="00D00F98" w:rsidP="00157FC4">
      <w:pPr>
        <w:spacing w:after="0" w:line="240" w:lineRule="auto"/>
        <w:jc w:val="both"/>
        <w:rPr>
          <w:sz w:val="24"/>
          <w:szCs w:val="24"/>
        </w:rPr>
      </w:pPr>
      <w:r w:rsidRPr="00DE3690">
        <w:rPr>
          <w:rFonts w:cstheme="minorHAnsi"/>
          <w:b/>
          <w:sz w:val="24"/>
          <w:szCs w:val="24"/>
          <w:u w:val="single"/>
        </w:rPr>
        <w:t>Análise Cenários</w:t>
      </w:r>
      <w:r w:rsidR="00157FC4" w:rsidRPr="00DE3690">
        <w:rPr>
          <w:rFonts w:cstheme="minorHAnsi"/>
          <w:b/>
          <w:sz w:val="24"/>
          <w:szCs w:val="24"/>
          <w:u w:val="single"/>
        </w:rPr>
        <w:t>:</w:t>
      </w:r>
      <w:r w:rsidR="00E3776F" w:rsidRPr="00DE3690">
        <w:rPr>
          <w:rFonts w:cstheme="minorHAnsi"/>
          <w:b/>
          <w:sz w:val="24"/>
          <w:szCs w:val="24"/>
        </w:rPr>
        <w:t xml:space="preserve"> </w:t>
      </w:r>
      <w:r w:rsidR="00DA2633" w:rsidRPr="00DE3690">
        <w:rPr>
          <w:sz w:val="24"/>
          <w:szCs w:val="24"/>
        </w:rPr>
        <w:t>O processo de seleção de ativos mobiliários dar-se-á inicialmente pela análise de conjuntura macroeconômica doméstica e internacional, que balizarão as premissas a serem adotadas.</w:t>
      </w:r>
      <w:r w:rsidR="00EA11CD" w:rsidRPr="00DE3690">
        <w:rPr>
          <w:sz w:val="24"/>
          <w:szCs w:val="24"/>
        </w:rPr>
        <w:t xml:space="preserve"> Em âmbito doméstico deverão ser acompanhados a análise da economia brasileira (juros, câmbio, inflação, PIB, bolsas de valores, política, contas externas, etc.), bem como suas perspectivas (riscos e oportunidades). Em âmbito internacional, deverão ser observados os andamentos das principais economias mundiais, e principalmente fatores que possam gerar aversão ao risco em âmbito mundial, considerando que o investidor estrangeiro tem participação importante no mercado financeiro brasileiro, e os seus movimentos devem ser observados com especial atenção.</w:t>
      </w:r>
    </w:p>
    <w:p w:rsidR="00157FC4" w:rsidRPr="00DE3690" w:rsidRDefault="00157FC4" w:rsidP="00157FC4">
      <w:pPr>
        <w:pStyle w:val="Default"/>
        <w:jc w:val="both"/>
        <w:rPr>
          <w:rFonts w:asciiTheme="minorHAnsi" w:hAnsiTheme="minorHAnsi"/>
          <w:color w:val="auto"/>
        </w:rPr>
      </w:pPr>
    </w:p>
    <w:p w:rsidR="00A2084F" w:rsidRPr="00DE3690" w:rsidRDefault="007217A5" w:rsidP="00A2084F">
      <w:pPr>
        <w:pStyle w:val="Default"/>
        <w:jc w:val="both"/>
        <w:rPr>
          <w:rFonts w:asciiTheme="minorHAnsi" w:hAnsiTheme="minorHAnsi"/>
          <w:color w:val="auto"/>
        </w:rPr>
      </w:pPr>
      <w:r w:rsidRPr="00DE3690">
        <w:rPr>
          <w:rFonts w:asciiTheme="minorHAnsi" w:hAnsiTheme="minorHAnsi"/>
          <w:color w:val="auto"/>
        </w:rPr>
        <w:t>O comitê de investimentos é responsável pelo acompanhamento e análise de estudos e pesquisas, incluindo projeções e definição de premissas macroeconômicas, através do acompanhamento dos principais indicadores internacionais e domésticos. As análises serão efetuadas através da interpretação colegiada sobre a conjuntura econômica e pela análise dos principais jornais</w:t>
      </w:r>
      <w:r w:rsidRPr="00DE3690">
        <w:rPr>
          <w:rFonts w:asciiTheme="minorHAnsi" w:hAnsiTheme="minorHAnsi" w:cstheme="minorHAnsi"/>
          <w:color w:val="auto"/>
        </w:rPr>
        <w:t>, revistas e informações de instituições econômicas, mediante a adoção de premissas macroeconômicas através da observação dos cenários externos e internos e seus indicadores</w:t>
      </w:r>
      <w:bookmarkStart w:id="39" w:name="_Toc284532298"/>
      <w:r w:rsidRPr="00DE3690">
        <w:rPr>
          <w:rFonts w:asciiTheme="minorHAnsi" w:hAnsiTheme="minorHAnsi" w:cstheme="minorHAnsi"/>
          <w:color w:val="auto"/>
        </w:rPr>
        <w:t>.</w:t>
      </w:r>
      <w:bookmarkEnd w:id="39"/>
      <w:r w:rsidR="00A2084F" w:rsidRPr="00DE3690">
        <w:rPr>
          <w:rFonts w:asciiTheme="minorHAnsi" w:hAnsiTheme="minorHAnsi" w:cstheme="minorHAnsi"/>
          <w:color w:val="auto"/>
        </w:rPr>
        <w:t xml:space="preserve"> </w:t>
      </w:r>
      <w:r w:rsidR="00DA2633" w:rsidRPr="00DE3690">
        <w:rPr>
          <w:rFonts w:asciiTheme="minorHAnsi" w:hAnsiTheme="minorHAnsi" w:cstheme="minorHAnsi"/>
          <w:color w:val="auto"/>
        </w:rPr>
        <w:t xml:space="preserve">De acordo com as decisões colegiadas, se optará pela alocação de ativos </w:t>
      </w:r>
      <w:proofErr w:type="gramStart"/>
      <w:r w:rsidR="00DA2633" w:rsidRPr="00DE3690">
        <w:rPr>
          <w:rFonts w:asciiTheme="minorHAnsi" w:hAnsiTheme="minorHAnsi" w:cstheme="minorHAnsi"/>
          <w:color w:val="auto"/>
        </w:rPr>
        <w:t>mobiliários.No</w:t>
      </w:r>
      <w:proofErr w:type="gramEnd"/>
      <w:r w:rsidR="00DA2633" w:rsidRPr="00DE3690">
        <w:rPr>
          <w:rFonts w:asciiTheme="minorHAnsi" w:hAnsiTheme="minorHAnsi" w:cstheme="minorHAnsi"/>
          <w:color w:val="auto"/>
        </w:rPr>
        <w:t xml:space="preserve"> caso de ativos de renda fixa, serão observadas as curvas de juros e comportamento dos indicadores sensíveis à mesma.</w:t>
      </w:r>
      <w:r w:rsidR="00EA11CD" w:rsidRPr="00DE3690">
        <w:rPr>
          <w:rFonts w:asciiTheme="minorHAnsi" w:hAnsiTheme="minorHAnsi" w:cstheme="minorHAnsi"/>
          <w:color w:val="auto"/>
        </w:rPr>
        <w:t xml:space="preserve"> </w:t>
      </w:r>
    </w:p>
    <w:p w:rsidR="00A2084F" w:rsidRPr="00DE3690" w:rsidRDefault="00A2084F"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155D21" w:rsidRDefault="00155D21" w:rsidP="00157FC4">
      <w:pPr>
        <w:spacing w:after="0" w:line="240" w:lineRule="auto"/>
        <w:jc w:val="both"/>
        <w:rPr>
          <w:rFonts w:cstheme="minorHAnsi"/>
          <w:sz w:val="24"/>
          <w:szCs w:val="24"/>
        </w:rPr>
      </w:pPr>
    </w:p>
    <w:p w:rsidR="00EA11CD" w:rsidRPr="00DE3690" w:rsidRDefault="00EA11CD" w:rsidP="00157FC4">
      <w:pPr>
        <w:spacing w:after="0" w:line="240" w:lineRule="auto"/>
        <w:jc w:val="both"/>
        <w:rPr>
          <w:rFonts w:cstheme="minorHAnsi"/>
          <w:sz w:val="24"/>
          <w:szCs w:val="24"/>
        </w:rPr>
      </w:pPr>
      <w:r w:rsidRPr="00DE3690">
        <w:rPr>
          <w:rFonts w:cstheme="minorHAnsi"/>
          <w:sz w:val="24"/>
          <w:szCs w:val="24"/>
        </w:rPr>
        <w:t xml:space="preserve">No caso de aumento de prêmios (preços de títulos públicos abaixo do valor considerado justo), deverá ser alongada a carteira através do investimento nas classes mais longas e mais voláteis como: IRF-M 1+, IMA-B 5+ e IMA-B. De modo contrário, quando o comitê de investimentos do </w:t>
      </w:r>
      <w:r w:rsidR="00646827" w:rsidRPr="00DE3690">
        <w:rPr>
          <w:rFonts w:cstheme="minorHAnsi"/>
          <w:sz w:val="24"/>
          <w:szCs w:val="24"/>
        </w:rPr>
        <w:t>IPESMUC</w:t>
      </w:r>
      <w:r w:rsidRPr="00DE3690">
        <w:rPr>
          <w:rFonts w:cstheme="minorHAnsi"/>
          <w:sz w:val="24"/>
          <w:szCs w:val="24"/>
        </w:rPr>
        <w:t xml:space="preserve"> identificar redução de prêmios (preços acima do seu valor justo), deverá ser encurtada a carteira de renda fixa, através da aplicação nas classes mais curtas e menos voláteis como: CDI, IRF-M 1</w:t>
      </w:r>
      <w:r w:rsidR="00A2084F" w:rsidRPr="00DE3690">
        <w:rPr>
          <w:rFonts w:cstheme="minorHAnsi"/>
          <w:sz w:val="24"/>
          <w:szCs w:val="24"/>
        </w:rPr>
        <w:t>.</w:t>
      </w:r>
    </w:p>
    <w:p w:rsidR="00A2084F" w:rsidRPr="00DE3690" w:rsidRDefault="00A2084F" w:rsidP="00157FC4">
      <w:pPr>
        <w:spacing w:after="0" w:line="240" w:lineRule="auto"/>
        <w:jc w:val="both"/>
        <w:rPr>
          <w:rFonts w:cstheme="minorHAnsi"/>
          <w:sz w:val="24"/>
          <w:szCs w:val="24"/>
        </w:rPr>
      </w:pPr>
    </w:p>
    <w:p w:rsidR="00DA2633" w:rsidRPr="00DE3690" w:rsidRDefault="00DA2633" w:rsidP="00157FC4">
      <w:pPr>
        <w:spacing w:after="0" w:line="240" w:lineRule="auto"/>
        <w:jc w:val="both"/>
        <w:rPr>
          <w:rFonts w:cstheme="minorHAnsi"/>
          <w:sz w:val="24"/>
          <w:szCs w:val="24"/>
        </w:rPr>
      </w:pPr>
      <w:r w:rsidRPr="00DE3690">
        <w:rPr>
          <w:rFonts w:cstheme="minorHAnsi"/>
          <w:sz w:val="24"/>
          <w:szCs w:val="24"/>
        </w:rPr>
        <w:t xml:space="preserve">Em relação aos ativos de renda variável, serão </w:t>
      </w:r>
      <w:r w:rsidR="00EA11CD" w:rsidRPr="00DE3690">
        <w:rPr>
          <w:rFonts w:cstheme="minorHAnsi"/>
          <w:sz w:val="24"/>
          <w:szCs w:val="24"/>
        </w:rPr>
        <w:t>acompanhadas as estratégias específicas de cada gestor de investimento mediante o desempenho das suas carteiras de investimentos</w:t>
      </w:r>
      <w:r w:rsidR="007217A5" w:rsidRPr="00DE3690">
        <w:rPr>
          <w:rFonts w:cstheme="minorHAnsi"/>
          <w:sz w:val="24"/>
          <w:szCs w:val="24"/>
        </w:rPr>
        <w:t>, devendo ser priorizada a análise estatística (próximo tópico), como forma de observar fundos de investimentos com características de retorno e risco adequadas às suas estratégias de investimentos.</w:t>
      </w:r>
    </w:p>
    <w:p w:rsidR="007217A5" w:rsidRPr="00DE3690" w:rsidRDefault="007217A5" w:rsidP="00157FC4">
      <w:pPr>
        <w:spacing w:after="0" w:line="240" w:lineRule="auto"/>
        <w:jc w:val="both"/>
        <w:rPr>
          <w:rFonts w:cstheme="minorHAnsi"/>
          <w:sz w:val="24"/>
          <w:szCs w:val="24"/>
        </w:rPr>
      </w:pPr>
    </w:p>
    <w:p w:rsidR="007217A5" w:rsidRPr="00DE3690" w:rsidRDefault="00DA2633" w:rsidP="00E3776F">
      <w:pPr>
        <w:spacing w:after="0" w:line="240" w:lineRule="auto"/>
        <w:jc w:val="both"/>
        <w:rPr>
          <w:rFonts w:cstheme="minorHAnsi"/>
          <w:sz w:val="24"/>
          <w:szCs w:val="24"/>
        </w:rPr>
      </w:pPr>
      <w:r w:rsidRPr="00DE3690">
        <w:rPr>
          <w:rFonts w:cstheme="minorHAnsi"/>
          <w:b/>
          <w:sz w:val="24"/>
          <w:szCs w:val="24"/>
          <w:u w:val="single"/>
        </w:rPr>
        <w:t>Análise Estatística</w:t>
      </w:r>
      <w:r w:rsidR="00A2084F" w:rsidRPr="00DE3690">
        <w:rPr>
          <w:rFonts w:cstheme="minorHAnsi"/>
          <w:b/>
          <w:sz w:val="24"/>
          <w:szCs w:val="24"/>
          <w:u w:val="single"/>
        </w:rPr>
        <w:t>:</w:t>
      </w:r>
      <w:r w:rsidR="00E3776F" w:rsidRPr="00DE3690">
        <w:rPr>
          <w:rFonts w:cstheme="minorHAnsi"/>
          <w:b/>
          <w:sz w:val="24"/>
          <w:szCs w:val="24"/>
        </w:rPr>
        <w:t xml:space="preserve"> </w:t>
      </w:r>
      <w:r w:rsidRPr="00DE3690">
        <w:rPr>
          <w:rFonts w:cstheme="minorHAnsi"/>
          <w:sz w:val="24"/>
          <w:szCs w:val="24"/>
        </w:rPr>
        <w:t>Após apresentada a análise macroeconômica, o ponto a seguir pela seleção do investimento ocorre via métricas de risco, de evolução de rentabilidade e patrimônio e monitoramento da</w:t>
      </w:r>
      <w:r w:rsidR="007217A5" w:rsidRPr="00DE3690">
        <w:rPr>
          <w:rFonts w:cstheme="minorHAnsi"/>
          <w:sz w:val="24"/>
          <w:szCs w:val="24"/>
        </w:rPr>
        <w:t>s</w:t>
      </w:r>
      <w:r w:rsidRPr="00DE3690">
        <w:rPr>
          <w:rFonts w:cstheme="minorHAnsi"/>
          <w:sz w:val="24"/>
          <w:szCs w:val="24"/>
        </w:rPr>
        <w:t xml:space="preserve"> cota</w:t>
      </w:r>
      <w:r w:rsidR="007217A5" w:rsidRPr="00DE3690">
        <w:rPr>
          <w:rFonts w:cstheme="minorHAnsi"/>
          <w:sz w:val="24"/>
          <w:szCs w:val="24"/>
        </w:rPr>
        <w:t>s</w:t>
      </w:r>
      <w:r w:rsidRPr="00DE3690">
        <w:rPr>
          <w:rFonts w:cstheme="minorHAnsi"/>
          <w:sz w:val="24"/>
          <w:szCs w:val="24"/>
        </w:rPr>
        <w:t xml:space="preserve"> do</w:t>
      </w:r>
      <w:r w:rsidR="007217A5" w:rsidRPr="00DE3690">
        <w:rPr>
          <w:rFonts w:cstheme="minorHAnsi"/>
          <w:sz w:val="24"/>
          <w:szCs w:val="24"/>
        </w:rPr>
        <w:t>s</w:t>
      </w:r>
      <w:r w:rsidRPr="00DE3690">
        <w:rPr>
          <w:rFonts w:cstheme="minorHAnsi"/>
          <w:sz w:val="24"/>
          <w:szCs w:val="24"/>
        </w:rPr>
        <w:t xml:space="preserve"> fundo</w:t>
      </w:r>
      <w:r w:rsidR="007217A5" w:rsidRPr="00DE3690">
        <w:rPr>
          <w:rFonts w:cstheme="minorHAnsi"/>
          <w:sz w:val="24"/>
          <w:szCs w:val="24"/>
        </w:rPr>
        <w:t>s</w:t>
      </w:r>
      <w:r w:rsidRPr="00DE3690">
        <w:rPr>
          <w:rFonts w:cstheme="minorHAnsi"/>
          <w:sz w:val="24"/>
          <w:szCs w:val="24"/>
        </w:rPr>
        <w:t>. O processo de seleção dos fundos a receberem aportes também passa por reuniões com os gestores, estudo do regulamento proposto pelo fundo e tipo de investidor em nossos fundos que estabelecem o passivo do mesmo.</w:t>
      </w:r>
      <w:r w:rsidR="00E3776F" w:rsidRPr="00DE3690">
        <w:rPr>
          <w:rFonts w:cstheme="minorHAnsi"/>
          <w:sz w:val="24"/>
          <w:szCs w:val="24"/>
        </w:rPr>
        <w:t xml:space="preserve"> </w:t>
      </w:r>
      <w:r w:rsidRPr="00DE3690">
        <w:rPr>
          <w:rFonts w:cstheme="minorHAnsi"/>
          <w:sz w:val="24"/>
          <w:szCs w:val="24"/>
        </w:rPr>
        <w:t xml:space="preserve">Dentre as métricas de risco, destacamos os índices Sharpe, </w:t>
      </w:r>
      <w:proofErr w:type="spellStart"/>
      <w:r w:rsidRPr="00DE3690">
        <w:rPr>
          <w:rFonts w:cstheme="minorHAnsi"/>
          <w:sz w:val="24"/>
          <w:szCs w:val="24"/>
        </w:rPr>
        <w:t>VaR</w:t>
      </w:r>
      <w:proofErr w:type="spellEnd"/>
      <w:r w:rsidRPr="00DE3690">
        <w:rPr>
          <w:rFonts w:cstheme="minorHAnsi"/>
          <w:sz w:val="24"/>
          <w:szCs w:val="24"/>
        </w:rPr>
        <w:t xml:space="preserve">, volatilidade, desvio padrão das cotas, eventualmente modelos de regressão, </w:t>
      </w:r>
      <w:r w:rsidR="007217A5" w:rsidRPr="00DE3690">
        <w:rPr>
          <w:rFonts w:cstheme="minorHAnsi"/>
          <w:sz w:val="24"/>
          <w:szCs w:val="24"/>
        </w:rPr>
        <w:t>dentre outros</w:t>
      </w:r>
      <w:r w:rsidRPr="00DE3690">
        <w:rPr>
          <w:rFonts w:cstheme="minorHAnsi"/>
          <w:sz w:val="24"/>
          <w:szCs w:val="24"/>
        </w:rPr>
        <w:t xml:space="preserve">. </w:t>
      </w:r>
      <w:r w:rsidR="00E3776F" w:rsidRPr="00DE3690">
        <w:rPr>
          <w:rFonts w:cstheme="minorHAnsi"/>
          <w:sz w:val="24"/>
          <w:szCs w:val="24"/>
        </w:rPr>
        <w:t xml:space="preserve"> </w:t>
      </w:r>
      <w:r w:rsidRPr="00DE3690">
        <w:rPr>
          <w:rFonts w:cstheme="minorHAnsi"/>
          <w:sz w:val="24"/>
          <w:szCs w:val="24"/>
        </w:rPr>
        <w:t xml:space="preserve">Já na evolução da rentabilidade e </w:t>
      </w:r>
      <w:proofErr w:type="gramStart"/>
      <w:r w:rsidRPr="00DE3690">
        <w:rPr>
          <w:rFonts w:cstheme="minorHAnsi"/>
          <w:sz w:val="24"/>
          <w:szCs w:val="24"/>
        </w:rPr>
        <w:t>patrimônio,procura</w:t>
      </w:r>
      <w:proofErr w:type="gramEnd"/>
      <w:r w:rsidRPr="00DE3690">
        <w:rPr>
          <w:rFonts w:cstheme="minorHAnsi"/>
          <w:sz w:val="24"/>
          <w:szCs w:val="24"/>
        </w:rPr>
        <w:t>-se identificar comportamentos atípicos, como algum período em que houve oscilação excessiva, além de aportes e resgates no fundo.</w:t>
      </w:r>
    </w:p>
    <w:p w:rsidR="00DA2633" w:rsidRPr="00DE3690" w:rsidRDefault="00DA2633" w:rsidP="00157FC4">
      <w:pPr>
        <w:pStyle w:val="PargrafodaLista"/>
        <w:spacing w:after="0" w:line="240" w:lineRule="auto"/>
        <w:ind w:left="0"/>
        <w:rPr>
          <w:rFonts w:cstheme="minorHAnsi"/>
          <w:sz w:val="24"/>
          <w:szCs w:val="24"/>
        </w:rPr>
      </w:pPr>
      <w:r w:rsidRPr="00DE3690">
        <w:rPr>
          <w:rFonts w:cstheme="minorHAnsi"/>
          <w:sz w:val="24"/>
          <w:szCs w:val="24"/>
        </w:rPr>
        <w:t>Abaixo listaremos algumas das premissas de risco e seus conceitos:</w:t>
      </w:r>
    </w:p>
    <w:p w:rsidR="00A2084F" w:rsidRPr="00DE3690" w:rsidRDefault="00DA2633" w:rsidP="00E3776F">
      <w:pPr>
        <w:pStyle w:val="PargrafodaLista"/>
        <w:numPr>
          <w:ilvl w:val="0"/>
          <w:numId w:val="15"/>
        </w:numPr>
        <w:spacing w:after="0" w:line="240" w:lineRule="auto"/>
        <w:jc w:val="both"/>
        <w:rPr>
          <w:rFonts w:cstheme="minorHAnsi"/>
          <w:sz w:val="24"/>
          <w:szCs w:val="24"/>
        </w:rPr>
      </w:pPr>
      <w:proofErr w:type="spellStart"/>
      <w:r w:rsidRPr="00DE3690">
        <w:rPr>
          <w:rFonts w:cstheme="minorHAnsi"/>
          <w:sz w:val="24"/>
          <w:szCs w:val="24"/>
          <w:u w:val="single"/>
        </w:rPr>
        <w:t>VaR</w:t>
      </w:r>
      <w:proofErr w:type="spellEnd"/>
      <w:r w:rsidRPr="00DE3690">
        <w:rPr>
          <w:rFonts w:cstheme="minorHAnsi"/>
          <w:sz w:val="24"/>
          <w:szCs w:val="24"/>
          <w:u w:val="single"/>
        </w:rPr>
        <w:t xml:space="preserve"> (</w:t>
      </w:r>
      <w:proofErr w:type="spellStart"/>
      <w:r w:rsidRPr="00DE3690">
        <w:rPr>
          <w:rFonts w:cstheme="minorHAnsi"/>
          <w:sz w:val="24"/>
          <w:szCs w:val="24"/>
          <w:u w:val="single"/>
        </w:rPr>
        <w:t>Valueat</w:t>
      </w:r>
      <w:proofErr w:type="spellEnd"/>
      <w:r w:rsidRPr="00DE3690">
        <w:rPr>
          <w:rFonts w:cstheme="minorHAnsi"/>
          <w:sz w:val="24"/>
          <w:szCs w:val="24"/>
          <w:u w:val="single"/>
        </w:rPr>
        <w:t xml:space="preserve"> Risk)</w:t>
      </w:r>
      <w:r w:rsidRPr="00DE3690">
        <w:rPr>
          <w:rFonts w:cstheme="minorHAnsi"/>
          <w:sz w:val="24"/>
          <w:szCs w:val="24"/>
        </w:rPr>
        <w:t xml:space="preserve">: é uma medida de mensuração do nível de riscos e um determinado </w:t>
      </w:r>
      <w:r w:rsidR="007217A5" w:rsidRPr="00DE3690">
        <w:rPr>
          <w:rFonts w:cstheme="minorHAnsi"/>
          <w:sz w:val="24"/>
          <w:szCs w:val="24"/>
        </w:rPr>
        <w:t>portfólio</w:t>
      </w:r>
      <w:r w:rsidRPr="00DE3690">
        <w:rPr>
          <w:rFonts w:cstheme="minorHAnsi"/>
          <w:sz w:val="24"/>
          <w:szCs w:val="24"/>
        </w:rPr>
        <w:t xml:space="preserve"> de investimentos. O </w:t>
      </w:r>
      <w:proofErr w:type="spellStart"/>
      <w:r w:rsidRPr="00DE3690">
        <w:rPr>
          <w:rFonts w:cstheme="minorHAnsi"/>
          <w:sz w:val="24"/>
          <w:szCs w:val="24"/>
        </w:rPr>
        <w:t>VaR</w:t>
      </w:r>
      <w:proofErr w:type="spellEnd"/>
      <w:r w:rsidRPr="00DE3690">
        <w:rPr>
          <w:rFonts w:cstheme="minorHAnsi"/>
          <w:sz w:val="24"/>
          <w:szCs w:val="24"/>
        </w:rPr>
        <w:t xml:space="preserve"> apresenta a perda máxima de um investimento, mediante um prazo e um intervalo de confiança.</w:t>
      </w:r>
      <w:r w:rsidR="007217A5" w:rsidRPr="00DE3690">
        <w:rPr>
          <w:rFonts w:cstheme="minorHAnsi"/>
          <w:sz w:val="24"/>
          <w:szCs w:val="24"/>
        </w:rPr>
        <w:t xml:space="preserve"> Quanto menor, melhor.</w:t>
      </w:r>
    </w:p>
    <w:p w:rsidR="00DE3690" w:rsidRPr="00DE3690" w:rsidRDefault="00DE3690" w:rsidP="00DE3690">
      <w:pPr>
        <w:pStyle w:val="PargrafodaLista"/>
        <w:spacing w:after="0" w:line="240" w:lineRule="auto"/>
        <w:jc w:val="both"/>
        <w:rPr>
          <w:rFonts w:cstheme="minorHAnsi"/>
          <w:sz w:val="24"/>
          <w:szCs w:val="24"/>
        </w:rPr>
      </w:pPr>
    </w:p>
    <w:p w:rsidR="00C745F4" w:rsidRPr="00DE3690" w:rsidRDefault="00DA2633" w:rsidP="00A2084F">
      <w:pPr>
        <w:pStyle w:val="PargrafodaLista"/>
        <w:numPr>
          <w:ilvl w:val="0"/>
          <w:numId w:val="15"/>
        </w:numPr>
        <w:spacing w:after="0" w:line="240" w:lineRule="auto"/>
        <w:jc w:val="both"/>
        <w:rPr>
          <w:rFonts w:cstheme="minorHAnsi"/>
          <w:sz w:val="24"/>
          <w:szCs w:val="24"/>
        </w:rPr>
      </w:pPr>
      <w:r w:rsidRPr="00DE3690">
        <w:rPr>
          <w:rFonts w:cstheme="minorHAnsi"/>
          <w:sz w:val="24"/>
          <w:szCs w:val="24"/>
          <w:u w:val="single"/>
        </w:rPr>
        <w:t>Índice Sharpe</w:t>
      </w:r>
      <w:r w:rsidRPr="00DE3690">
        <w:rPr>
          <w:rFonts w:cstheme="minorHAnsi"/>
          <w:sz w:val="24"/>
          <w:szCs w:val="24"/>
        </w:rPr>
        <w:t>: é uma medida empírica de avaliar a relação risco e retorno de determinado investimento. O índice Sharpe traz a razão entre a rentabilidade de um produto versus o risco ocorrido descontado pelo custo oportunidade.</w:t>
      </w:r>
      <w:r w:rsidR="007217A5" w:rsidRPr="00DE3690">
        <w:rPr>
          <w:rFonts w:cstheme="minorHAnsi"/>
          <w:sz w:val="24"/>
          <w:szCs w:val="24"/>
        </w:rPr>
        <w:t xml:space="preserve"> Quanto maior, melhor.</w:t>
      </w:r>
    </w:p>
    <w:p w:rsidR="00A2084F" w:rsidRPr="00DE3690" w:rsidRDefault="00A2084F" w:rsidP="00A2084F">
      <w:pPr>
        <w:spacing w:after="0" w:line="240" w:lineRule="auto"/>
        <w:jc w:val="both"/>
        <w:rPr>
          <w:rFonts w:cstheme="minorHAnsi"/>
          <w:sz w:val="24"/>
          <w:szCs w:val="24"/>
        </w:rPr>
      </w:pPr>
    </w:p>
    <w:p w:rsidR="00DA2633" w:rsidRPr="00DE3690" w:rsidRDefault="00DA2633" w:rsidP="00A2084F">
      <w:pPr>
        <w:pStyle w:val="PargrafodaLista"/>
        <w:numPr>
          <w:ilvl w:val="0"/>
          <w:numId w:val="15"/>
        </w:numPr>
        <w:spacing w:after="0" w:line="240" w:lineRule="auto"/>
        <w:jc w:val="both"/>
        <w:rPr>
          <w:rFonts w:cstheme="minorHAnsi"/>
          <w:sz w:val="24"/>
          <w:szCs w:val="24"/>
        </w:rPr>
      </w:pPr>
      <w:r w:rsidRPr="00DE3690">
        <w:rPr>
          <w:rFonts w:cstheme="minorHAnsi"/>
          <w:sz w:val="24"/>
          <w:szCs w:val="24"/>
          <w:u w:val="single"/>
        </w:rPr>
        <w:t>Volatilidade</w:t>
      </w:r>
      <w:r w:rsidRPr="00DE3690">
        <w:rPr>
          <w:rFonts w:cstheme="minorHAnsi"/>
          <w:sz w:val="24"/>
          <w:szCs w:val="24"/>
        </w:rPr>
        <w:t xml:space="preserve">: através do desvio-padrão </w:t>
      </w:r>
      <w:r w:rsidR="007217A5" w:rsidRPr="00DE3690">
        <w:rPr>
          <w:rFonts w:cstheme="minorHAnsi"/>
          <w:sz w:val="24"/>
          <w:szCs w:val="24"/>
        </w:rPr>
        <w:t xml:space="preserve">do retorno diário </w:t>
      </w:r>
      <w:r w:rsidRPr="00DE3690">
        <w:rPr>
          <w:rFonts w:cstheme="minorHAnsi"/>
          <w:sz w:val="24"/>
          <w:szCs w:val="24"/>
        </w:rPr>
        <w:t>das cotas, procura-se verificar a volatilidade do</w:t>
      </w:r>
      <w:r w:rsidR="007217A5" w:rsidRPr="00DE3690">
        <w:rPr>
          <w:rFonts w:cstheme="minorHAnsi"/>
          <w:sz w:val="24"/>
          <w:szCs w:val="24"/>
        </w:rPr>
        <w:t>s fundos a serem investidos</w:t>
      </w:r>
      <w:r w:rsidRPr="00DE3690">
        <w:rPr>
          <w:rFonts w:cstheme="minorHAnsi"/>
          <w:sz w:val="24"/>
          <w:szCs w:val="24"/>
        </w:rPr>
        <w:t>.</w:t>
      </w:r>
      <w:r w:rsidR="007217A5" w:rsidRPr="00DE3690">
        <w:rPr>
          <w:rFonts w:cstheme="minorHAnsi"/>
          <w:sz w:val="24"/>
          <w:szCs w:val="24"/>
        </w:rPr>
        <w:t xml:space="preserve"> Quanto menor, melhor.</w:t>
      </w:r>
    </w:p>
    <w:p w:rsidR="00DA2633" w:rsidRPr="00DE3690" w:rsidRDefault="00DA2633" w:rsidP="00157FC4">
      <w:pPr>
        <w:pStyle w:val="PargrafodaLista"/>
        <w:spacing w:after="0" w:line="240" w:lineRule="auto"/>
        <w:ind w:left="0"/>
        <w:jc w:val="both"/>
        <w:rPr>
          <w:rFonts w:cstheme="minorHAnsi"/>
          <w:sz w:val="24"/>
          <w:szCs w:val="24"/>
        </w:rPr>
      </w:pPr>
    </w:p>
    <w:p w:rsidR="003176B2" w:rsidRPr="00DE3690" w:rsidRDefault="00D91B71" w:rsidP="00A2084F">
      <w:pPr>
        <w:pStyle w:val="Ttulo2"/>
        <w:spacing w:before="0"/>
        <w:jc w:val="both"/>
        <w:rPr>
          <w:rFonts w:asciiTheme="minorHAnsi" w:hAnsiTheme="minorHAnsi" w:cstheme="minorHAnsi"/>
          <w:i w:val="0"/>
          <w:szCs w:val="24"/>
          <w:lang w:val="pt-BR"/>
        </w:rPr>
      </w:pPr>
      <w:bookmarkStart w:id="40" w:name="_Toc525634203"/>
      <w:r w:rsidRPr="00DE3690">
        <w:rPr>
          <w:rFonts w:asciiTheme="minorHAnsi" w:hAnsiTheme="minorHAnsi"/>
          <w:i w:val="0"/>
          <w:szCs w:val="24"/>
          <w:lang w:val="pt-BR"/>
        </w:rPr>
        <w:t>Investimentos com características de crédito</w:t>
      </w:r>
      <w:bookmarkEnd w:id="40"/>
      <w:r w:rsidR="00A2084F" w:rsidRPr="00DE3690">
        <w:rPr>
          <w:rFonts w:asciiTheme="minorHAnsi" w:hAnsiTheme="minorHAnsi"/>
          <w:i w:val="0"/>
          <w:szCs w:val="24"/>
          <w:lang w:val="pt-BR"/>
        </w:rPr>
        <w:t xml:space="preserve">:  </w:t>
      </w:r>
      <w:r w:rsidR="001253EF" w:rsidRPr="00DE3690">
        <w:rPr>
          <w:rFonts w:asciiTheme="minorHAnsi" w:hAnsiTheme="minorHAnsi" w:cstheme="minorHAnsi"/>
          <w:b w:val="0"/>
          <w:i w:val="0"/>
          <w:szCs w:val="24"/>
          <w:lang w:val="pt-BR"/>
        </w:rPr>
        <w:t>Os procedimentos para a análise desta classe de investimentos devem ser antecedidos por uma análise completa dos emissores ou das cias investidas, devendo este relatório incluir, mas não se limitar, aos seguintes aspectos</w:t>
      </w:r>
      <w:r w:rsidR="003176B2" w:rsidRPr="00DE3690">
        <w:rPr>
          <w:rFonts w:asciiTheme="minorHAnsi" w:hAnsiTheme="minorHAnsi" w:cstheme="minorHAnsi"/>
          <w:i w:val="0"/>
          <w:szCs w:val="24"/>
          <w:lang w:val="pt-BR"/>
        </w:rPr>
        <w:t xml:space="preserve">: </w:t>
      </w:r>
    </w:p>
    <w:p w:rsidR="003176B2" w:rsidRPr="00DE3690" w:rsidRDefault="003176B2" w:rsidP="00A2084F">
      <w:pPr>
        <w:pStyle w:val="PargrafodaLista"/>
        <w:numPr>
          <w:ilvl w:val="0"/>
          <w:numId w:val="15"/>
        </w:numPr>
        <w:spacing w:after="0" w:line="240" w:lineRule="auto"/>
        <w:jc w:val="both"/>
        <w:rPr>
          <w:rFonts w:cstheme="minorHAnsi"/>
          <w:sz w:val="24"/>
          <w:szCs w:val="24"/>
        </w:rPr>
      </w:pPr>
      <w:r w:rsidRPr="00DE3690">
        <w:rPr>
          <w:rFonts w:cstheme="minorHAnsi"/>
          <w:sz w:val="24"/>
          <w:szCs w:val="24"/>
          <w:u w:val="single"/>
        </w:rPr>
        <w:t>Análise Setorial</w:t>
      </w:r>
      <w:r w:rsidRPr="00DE3690">
        <w:rPr>
          <w:rFonts w:cstheme="minorHAnsi"/>
          <w:sz w:val="24"/>
          <w:szCs w:val="24"/>
        </w:rPr>
        <w:t>: É realizada análise de dados do setor do qual a empresa sob análise está inserida. As informações obtidas serão utilizadas para projetar dados e contextualizar o ativo analisado em seu setor (relevância, estratégia, atuação, mercado, etc.).</w:t>
      </w:r>
    </w:p>
    <w:p w:rsidR="00A2084F" w:rsidRPr="00DE3690" w:rsidRDefault="00A2084F" w:rsidP="00A2084F">
      <w:pPr>
        <w:pStyle w:val="PargrafodaLista"/>
        <w:spacing w:after="0" w:line="240" w:lineRule="auto"/>
        <w:jc w:val="both"/>
        <w:rPr>
          <w:rFonts w:cstheme="minorHAnsi"/>
          <w:sz w:val="24"/>
          <w:szCs w:val="24"/>
        </w:rPr>
      </w:pPr>
    </w:p>
    <w:p w:rsidR="003176B2" w:rsidRPr="00DE3690" w:rsidRDefault="003176B2" w:rsidP="00A2084F">
      <w:pPr>
        <w:pStyle w:val="PargrafodaLista"/>
        <w:numPr>
          <w:ilvl w:val="0"/>
          <w:numId w:val="15"/>
        </w:numPr>
        <w:spacing w:after="0" w:line="240" w:lineRule="auto"/>
        <w:jc w:val="both"/>
        <w:rPr>
          <w:rFonts w:cstheme="minorHAnsi"/>
          <w:sz w:val="24"/>
          <w:szCs w:val="24"/>
        </w:rPr>
      </w:pPr>
      <w:r w:rsidRPr="00DE3690">
        <w:rPr>
          <w:rFonts w:cstheme="minorHAnsi"/>
          <w:sz w:val="24"/>
          <w:szCs w:val="24"/>
          <w:u w:val="single"/>
        </w:rPr>
        <w:t>Análise da Empresa</w:t>
      </w:r>
      <w:r w:rsidRPr="00DE3690">
        <w:rPr>
          <w:rFonts w:cstheme="minorHAnsi"/>
          <w:sz w:val="24"/>
          <w:szCs w:val="24"/>
        </w:rPr>
        <w:t>: A análise da empresa é baseada na avaliação de registros contábeis (Balanço, DRE, Balancetes e Fluxo de Caixa). Onde, são analisados indicadores financeiros, como: Liquidez, alavancagem, endividamento, rentabilidade e geração de caixa.</w:t>
      </w:r>
    </w:p>
    <w:p w:rsidR="00A2084F" w:rsidRDefault="00A2084F" w:rsidP="00A2084F">
      <w:pPr>
        <w:spacing w:after="0" w:line="240" w:lineRule="auto"/>
        <w:jc w:val="both"/>
        <w:rPr>
          <w:rFonts w:cstheme="minorHAnsi"/>
          <w:sz w:val="24"/>
          <w:szCs w:val="24"/>
        </w:rPr>
      </w:pPr>
    </w:p>
    <w:p w:rsidR="00155D21" w:rsidRPr="00DE3690" w:rsidRDefault="00155D21" w:rsidP="00A2084F">
      <w:pPr>
        <w:spacing w:after="0" w:line="240" w:lineRule="auto"/>
        <w:jc w:val="both"/>
        <w:rPr>
          <w:rFonts w:cstheme="minorHAnsi"/>
          <w:sz w:val="24"/>
          <w:szCs w:val="24"/>
        </w:rPr>
      </w:pPr>
    </w:p>
    <w:p w:rsidR="00155D21" w:rsidRDefault="00155D21" w:rsidP="00155D21">
      <w:pPr>
        <w:pStyle w:val="PargrafodaLista"/>
        <w:spacing w:after="0" w:line="240" w:lineRule="auto"/>
        <w:jc w:val="both"/>
        <w:rPr>
          <w:rFonts w:cstheme="minorHAnsi"/>
          <w:sz w:val="24"/>
          <w:szCs w:val="24"/>
        </w:rPr>
      </w:pPr>
    </w:p>
    <w:p w:rsidR="00155D21" w:rsidRDefault="00155D21" w:rsidP="00155D21">
      <w:pPr>
        <w:pStyle w:val="PargrafodaLista"/>
        <w:spacing w:after="0" w:line="240" w:lineRule="auto"/>
        <w:jc w:val="both"/>
        <w:rPr>
          <w:rFonts w:cstheme="minorHAnsi"/>
          <w:sz w:val="24"/>
          <w:szCs w:val="24"/>
        </w:rPr>
      </w:pPr>
    </w:p>
    <w:p w:rsidR="00155D21" w:rsidRDefault="00155D21" w:rsidP="00155D21">
      <w:pPr>
        <w:pStyle w:val="PargrafodaLista"/>
        <w:spacing w:after="0" w:line="240" w:lineRule="auto"/>
        <w:jc w:val="both"/>
        <w:rPr>
          <w:rFonts w:cstheme="minorHAnsi"/>
          <w:sz w:val="24"/>
          <w:szCs w:val="24"/>
        </w:rPr>
      </w:pPr>
    </w:p>
    <w:p w:rsidR="00155D21" w:rsidRPr="00155D21" w:rsidRDefault="00155D21" w:rsidP="00155D21">
      <w:pPr>
        <w:pStyle w:val="PargrafodaLista"/>
        <w:spacing w:after="0" w:line="240" w:lineRule="auto"/>
        <w:jc w:val="both"/>
        <w:rPr>
          <w:rFonts w:cstheme="minorHAnsi"/>
          <w:sz w:val="24"/>
          <w:szCs w:val="24"/>
        </w:rPr>
      </w:pPr>
    </w:p>
    <w:p w:rsidR="00155D21" w:rsidRPr="00155D21" w:rsidRDefault="00155D21" w:rsidP="00155D21">
      <w:pPr>
        <w:pStyle w:val="PargrafodaLista"/>
        <w:rPr>
          <w:rFonts w:cstheme="minorHAnsi"/>
          <w:sz w:val="24"/>
          <w:szCs w:val="24"/>
          <w:u w:val="single"/>
        </w:rPr>
      </w:pPr>
    </w:p>
    <w:p w:rsidR="00AD563E" w:rsidRPr="00155D21" w:rsidRDefault="00AD563E" w:rsidP="00155D21">
      <w:pPr>
        <w:pStyle w:val="PargrafodaLista"/>
        <w:numPr>
          <w:ilvl w:val="0"/>
          <w:numId w:val="15"/>
        </w:numPr>
        <w:spacing w:after="0" w:line="240" w:lineRule="auto"/>
        <w:jc w:val="both"/>
        <w:rPr>
          <w:rFonts w:cstheme="minorHAnsi"/>
          <w:sz w:val="24"/>
          <w:szCs w:val="24"/>
        </w:rPr>
      </w:pPr>
      <w:r w:rsidRPr="00155D21">
        <w:rPr>
          <w:rFonts w:cstheme="minorHAnsi"/>
          <w:sz w:val="24"/>
          <w:szCs w:val="24"/>
          <w:u w:val="single"/>
        </w:rPr>
        <w:t>Avaliação de Rating</w:t>
      </w:r>
      <w:r w:rsidRPr="00155D21">
        <w:rPr>
          <w:rFonts w:cstheme="minorHAnsi"/>
          <w:sz w:val="24"/>
          <w:szCs w:val="24"/>
        </w:rPr>
        <w:t>: No caso de títulos e valores mobiliários emitidos através de dívida, deverão ser analisados os relatórios de agências de classificação de risco (rating), que serão utilizados como balizadores para a avaliação da qualidade do risco de crédito da contraparte. Devendo, a contraparte, na escala das agências de risco, apresentar nota que a considere com grau de investimento.</w:t>
      </w:r>
    </w:p>
    <w:p w:rsidR="00A2084F" w:rsidRPr="00DE3690" w:rsidRDefault="00A2084F" w:rsidP="00A2084F">
      <w:pPr>
        <w:spacing w:after="0" w:line="240" w:lineRule="auto"/>
        <w:jc w:val="both"/>
        <w:rPr>
          <w:rFonts w:cstheme="minorHAnsi"/>
          <w:sz w:val="24"/>
          <w:szCs w:val="24"/>
        </w:rPr>
      </w:pPr>
    </w:p>
    <w:p w:rsidR="00AD563E" w:rsidRPr="00DE3690" w:rsidRDefault="00AD563E" w:rsidP="00A2084F">
      <w:pPr>
        <w:pStyle w:val="PargrafodaLista"/>
        <w:numPr>
          <w:ilvl w:val="0"/>
          <w:numId w:val="15"/>
        </w:numPr>
        <w:spacing w:after="0" w:line="240" w:lineRule="auto"/>
        <w:jc w:val="both"/>
        <w:rPr>
          <w:rFonts w:cstheme="minorHAnsi"/>
          <w:sz w:val="24"/>
          <w:szCs w:val="24"/>
        </w:rPr>
      </w:pPr>
      <w:r w:rsidRPr="00DE3690">
        <w:rPr>
          <w:rFonts w:cstheme="minorHAnsi"/>
          <w:sz w:val="24"/>
          <w:szCs w:val="24"/>
          <w:u w:val="single"/>
        </w:rPr>
        <w:t>Análise de Garantias Reais e Fidejussórias</w:t>
      </w:r>
      <w:r w:rsidRPr="00DE3690">
        <w:rPr>
          <w:rFonts w:cstheme="minorHAnsi"/>
          <w:sz w:val="24"/>
          <w:szCs w:val="24"/>
        </w:rPr>
        <w:t>: No caso de títulos e valores mobiliários emitidos através de dívida, deverão ser analisadas as garantias reais - aquelas em que o cumprimento de determinada obrigação é garantido por meio de um bem móvel (ex</w:t>
      </w:r>
      <w:r w:rsidR="006F3EED" w:rsidRPr="00DE3690">
        <w:rPr>
          <w:rFonts w:cstheme="minorHAnsi"/>
          <w:sz w:val="24"/>
          <w:szCs w:val="24"/>
        </w:rPr>
        <w:t>.</w:t>
      </w:r>
      <w:r w:rsidRPr="00DE3690">
        <w:rPr>
          <w:rFonts w:cstheme="minorHAnsi"/>
          <w:sz w:val="24"/>
          <w:szCs w:val="24"/>
        </w:rPr>
        <w:t>: penhor), imóvel (ex</w:t>
      </w:r>
      <w:r w:rsidR="006F3EED" w:rsidRPr="00DE3690">
        <w:rPr>
          <w:rFonts w:cstheme="minorHAnsi"/>
          <w:sz w:val="24"/>
          <w:szCs w:val="24"/>
        </w:rPr>
        <w:t>.</w:t>
      </w:r>
      <w:r w:rsidRPr="00DE3690">
        <w:rPr>
          <w:rFonts w:cstheme="minorHAnsi"/>
          <w:sz w:val="24"/>
          <w:szCs w:val="24"/>
        </w:rPr>
        <w:t>: hipoteca) ou anticrese. As garantias fidejussórias são aquelas prestadas por pessoas, e não por bens. No caso de descumprimento de determinada obrigação, a satisfação do débito será garantida por uma terceira pessoa, que não o devedor. As modalidades de garantia pessoal são o aval e a fiança.</w:t>
      </w:r>
    </w:p>
    <w:p w:rsidR="00E3776F" w:rsidRPr="00DE3690" w:rsidRDefault="00E3776F" w:rsidP="00157FC4">
      <w:pPr>
        <w:pStyle w:val="Default"/>
        <w:jc w:val="both"/>
        <w:rPr>
          <w:rFonts w:asciiTheme="minorHAnsi" w:hAnsiTheme="minorHAnsi"/>
          <w:color w:val="auto"/>
        </w:rPr>
      </w:pPr>
    </w:p>
    <w:p w:rsidR="003176B2" w:rsidRPr="00DE3690" w:rsidRDefault="003176B2" w:rsidP="00157FC4">
      <w:pPr>
        <w:pStyle w:val="Default"/>
        <w:jc w:val="both"/>
        <w:rPr>
          <w:rFonts w:asciiTheme="minorHAnsi" w:hAnsiTheme="minorHAnsi"/>
          <w:color w:val="auto"/>
        </w:rPr>
      </w:pPr>
      <w:r w:rsidRPr="00DE3690">
        <w:rPr>
          <w:rFonts w:asciiTheme="minorHAnsi" w:hAnsiTheme="minorHAnsi"/>
          <w:color w:val="auto"/>
        </w:rPr>
        <w:t>Após o término do processo de análise, a operação é discutida no comitê de investimentos, que toma a decisão de aprov</w:t>
      </w:r>
      <w:r w:rsidR="007217A5" w:rsidRPr="00DE3690">
        <w:rPr>
          <w:rFonts w:asciiTheme="minorHAnsi" w:hAnsiTheme="minorHAnsi"/>
          <w:color w:val="auto"/>
        </w:rPr>
        <w:t>á</w:t>
      </w:r>
      <w:r w:rsidRPr="00DE3690">
        <w:rPr>
          <w:rFonts w:asciiTheme="minorHAnsi" w:hAnsiTheme="minorHAnsi"/>
          <w:color w:val="auto"/>
        </w:rPr>
        <w:t xml:space="preserve">-la ou não. O risco de crédito é reavaliado no comitê de investimentos </w:t>
      </w:r>
      <w:r w:rsidR="00AD563E" w:rsidRPr="00DE3690">
        <w:rPr>
          <w:rFonts w:asciiTheme="minorHAnsi" w:hAnsiTheme="minorHAnsi"/>
          <w:color w:val="auto"/>
        </w:rPr>
        <w:t>periodicamente</w:t>
      </w:r>
      <w:r w:rsidRPr="00DE3690">
        <w:rPr>
          <w:rFonts w:asciiTheme="minorHAnsi" w:hAnsiTheme="minorHAnsi"/>
          <w:color w:val="auto"/>
        </w:rPr>
        <w:t xml:space="preserve"> ou a qualquer momento na ocorrência de alterações no nos cenários econômicos.</w:t>
      </w:r>
    </w:p>
    <w:p w:rsidR="005B7FB2" w:rsidRPr="00DE3690" w:rsidRDefault="005B7FB2" w:rsidP="00157FC4">
      <w:pPr>
        <w:spacing w:after="0" w:line="240" w:lineRule="auto"/>
        <w:jc w:val="both"/>
        <w:rPr>
          <w:rFonts w:cstheme="minorHAnsi"/>
          <w:sz w:val="24"/>
          <w:szCs w:val="24"/>
        </w:rPr>
      </w:pPr>
    </w:p>
    <w:p w:rsidR="001E00D2" w:rsidRPr="00DE3690" w:rsidRDefault="00D91B71" w:rsidP="002F6FD5">
      <w:pPr>
        <w:pStyle w:val="Ttulo2"/>
        <w:spacing w:before="0"/>
        <w:jc w:val="both"/>
        <w:rPr>
          <w:rFonts w:asciiTheme="minorHAnsi" w:hAnsiTheme="minorHAnsi"/>
          <w:b w:val="0"/>
          <w:i w:val="0"/>
          <w:szCs w:val="24"/>
          <w:lang w:val="pt-BR"/>
        </w:rPr>
      </w:pPr>
      <w:bookmarkStart w:id="41" w:name="_Toc525634204"/>
      <w:r w:rsidRPr="00DE3690">
        <w:rPr>
          <w:rFonts w:asciiTheme="minorHAnsi" w:hAnsiTheme="minorHAnsi"/>
          <w:i w:val="0"/>
          <w:szCs w:val="24"/>
          <w:lang w:val="pt-BR"/>
        </w:rPr>
        <w:t>Investimentos com características de iliquidez</w:t>
      </w:r>
      <w:bookmarkEnd w:id="41"/>
      <w:r w:rsidR="001E00D2" w:rsidRPr="00DE3690">
        <w:rPr>
          <w:rFonts w:asciiTheme="minorHAnsi" w:hAnsiTheme="minorHAnsi"/>
          <w:i w:val="0"/>
          <w:szCs w:val="24"/>
          <w:lang w:val="pt-BR"/>
        </w:rPr>
        <w:t xml:space="preserve">: </w:t>
      </w:r>
      <w:r w:rsidR="002F6FD5" w:rsidRPr="00DE3690">
        <w:rPr>
          <w:rFonts w:asciiTheme="minorHAnsi" w:hAnsiTheme="minorHAnsi"/>
          <w:b w:val="0"/>
          <w:i w:val="0"/>
          <w:szCs w:val="24"/>
          <w:lang w:val="pt-BR"/>
        </w:rPr>
        <w:t>No processo de gestão serão adotados critérios para a identificação de ativos com prazo de carência e/ou conversão de cotas, de forma que se efetue o gerenciamento de liquidez entre os recebimentos desses recursos ao longo do prazo, com a necessidade atuarial de pagamentos futuros. Desta forma, faz-se necessário a análise dos produtos e ativos onde serão aplicados os recursos, para que apenas uma pequena parte dos recursos apresente características de iliquidez, a qual o IPESMUC estipula como até 10% do PL total para aplicações com prazo de carência e/ou conversão de cotas superiores a 5 (cinco) anos.</w:t>
      </w:r>
    </w:p>
    <w:p w:rsidR="002F6FD5" w:rsidRPr="00DE3690" w:rsidRDefault="002F6FD5" w:rsidP="00157FC4">
      <w:pPr>
        <w:pStyle w:val="Default"/>
        <w:jc w:val="both"/>
        <w:rPr>
          <w:rFonts w:asciiTheme="minorHAnsi" w:hAnsiTheme="minorHAnsi"/>
          <w:color w:val="auto"/>
        </w:rPr>
      </w:pPr>
    </w:p>
    <w:p w:rsidR="006A124D" w:rsidRPr="00DE3690" w:rsidRDefault="006A124D" w:rsidP="00157FC4">
      <w:pPr>
        <w:pStyle w:val="Default"/>
        <w:jc w:val="both"/>
        <w:rPr>
          <w:rFonts w:asciiTheme="minorHAnsi" w:hAnsiTheme="minorHAnsi"/>
          <w:color w:val="auto"/>
        </w:rPr>
      </w:pPr>
      <w:r w:rsidRPr="00DE3690">
        <w:rPr>
          <w:rFonts w:asciiTheme="minorHAnsi" w:hAnsiTheme="minorHAnsi"/>
          <w:color w:val="auto"/>
        </w:rPr>
        <w:t>Especificamente no caso de fundos fechados listados em bolsa, deverá se aplicar a seguinte fórmula para identificar o prazo de desinvestimento no mesmo:</w:t>
      </w:r>
      <w:r w:rsidR="001E00D2" w:rsidRPr="00DE3690">
        <w:rPr>
          <w:rFonts w:asciiTheme="minorHAnsi" w:hAnsiTheme="minorHAnsi"/>
          <w:color w:val="auto"/>
        </w:rPr>
        <w:t xml:space="preserve"> </w:t>
      </w:r>
      <w:r w:rsidRPr="00DE3690">
        <w:rPr>
          <w:rFonts w:asciiTheme="minorHAnsi" w:hAnsiTheme="minorHAnsi"/>
          <w:color w:val="auto"/>
        </w:rPr>
        <w:t>Prazo para desinvestimento = PL investido no fundo</w:t>
      </w:r>
      <w:proofErr w:type="gramStart"/>
      <w:r w:rsidRPr="00DE3690">
        <w:rPr>
          <w:rFonts w:asciiTheme="minorHAnsi" w:hAnsiTheme="minorHAnsi"/>
          <w:color w:val="auto"/>
        </w:rPr>
        <w:t>/(</w:t>
      </w:r>
      <w:proofErr w:type="gramEnd"/>
      <w:r w:rsidRPr="00DE3690">
        <w:rPr>
          <w:rFonts w:asciiTheme="minorHAnsi" w:hAnsiTheme="minorHAnsi"/>
          <w:color w:val="auto"/>
        </w:rPr>
        <w:t xml:space="preserve">Volume negociação / </w:t>
      </w:r>
      <w:r w:rsidR="00EA128E" w:rsidRPr="00DE3690">
        <w:rPr>
          <w:rFonts w:asciiTheme="minorHAnsi" w:hAnsiTheme="minorHAnsi"/>
          <w:color w:val="auto"/>
        </w:rPr>
        <w:t>2)</w:t>
      </w:r>
    </w:p>
    <w:p w:rsidR="006A124D" w:rsidRPr="00DE3690" w:rsidRDefault="006A124D" w:rsidP="00157FC4">
      <w:pPr>
        <w:pStyle w:val="Default"/>
        <w:jc w:val="both"/>
        <w:rPr>
          <w:rFonts w:asciiTheme="minorHAnsi" w:hAnsiTheme="minorHAnsi"/>
          <w:b/>
          <w:color w:val="auto"/>
          <w:sz w:val="20"/>
          <w:szCs w:val="20"/>
        </w:rPr>
      </w:pPr>
      <w:r w:rsidRPr="00DE3690">
        <w:rPr>
          <w:rFonts w:asciiTheme="minorHAnsi" w:hAnsiTheme="minorHAnsi"/>
          <w:b/>
          <w:color w:val="auto"/>
          <w:sz w:val="20"/>
          <w:szCs w:val="20"/>
        </w:rPr>
        <w:t>Legenda:</w:t>
      </w:r>
    </w:p>
    <w:p w:rsidR="006A124D" w:rsidRPr="00DE3690" w:rsidRDefault="006A124D" w:rsidP="00157FC4">
      <w:pPr>
        <w:pStyle w:val="Default"/>
        <w:numPr>
          <w:ilvl w:val="0"/>
          <w:numId w:val="26"/>
        </w:numPr>
        <w:jc w:val="both"/>
        <w:rPr>
          <w:rFonts w:asciiTheme="minorHAnsi" w:hAnsiTheme="minorHAnsi"/>
          <w:color w:val="auto"/>
        </w:rPr>
      </w:pPr>
      <w:r w:rsidRPr="00DE3690">
        <w:rPr>
          <w:rFonts w:asciiTheme="minorHAnsi" w:hAnsiTheme="minorHAnsi"/>
          <w:color w:val="auto"/>
        </w:rPr>
        <w:t>Prazo para desinvestimento: Qual o prazo estimado em anos para a venda das cotas no mercado secundário.</w:t>
      </w:r>
    </w:p>
    <w:p w:rsidR="006A124D" w:rsidRPr="00DE3690" w:rsidRDefault="006A124D" w:rsidP="00157FC4">
      <w:pPr>
        <w:pStyle w:val="Default"/>
        <w:numPr>
          <w:ilvl w:val="0"/>
          <w:numId w:val="26"/>
        </w:numPr>
        <w:jc w:val="both"/>
        <w:rPr>
          <w:rFonts w:asciiTheme="minorHAnsi" w:hAnsiTheme="minorHAnsi"/>
          <w:color w:val="auto"/>
        </w:rPr>
      </w:pPr>
      <w:r w:rsidRPr="00DE3690">
        <w:rPr>
          <w:rFonts w:asciiTheme="minorHAnsi" w:hAnsiTheme="minorHAnsi"/>
          <w:color w:val="auto"/>
        </w:rPr>
        <w:t>PL investido no fundo: Valor do PL atual investido no fundo fechado listado em bolsa.</w:t>
      </w:r>
    </w:p>
    <w:p w:rsidR="003A5F75" w:rsidRPr="00DE3690" w:rsidRDefault="006A124D" w:rsidP="00157FC4">
      <w:pPr>
        <w:pStyle w:val="Default"/>
        <w:numPr>
          <w:ilvl w:val="0"/>
          <w:numId w:val="26"/>
        </w:numPr>
        <w:jc w:val="both"/>
        <w:rPr>
          <w:rFonts w:asciiTheme="minorHAnsi" w:hAnsiTheme="minorHAnsi"/>
          <w:color w:val="auto"/>
        </w:rPr>
      </w:pPr>
      <w:r w:rsidRPr="00DE3690">
        <w:rPr>
          <w:rFonts w:asciiTheme="minorHAnsi" w:hAnsiTheme="minorHAnsi"/>
          <w:color w:val="auto"/>
        </w:rPr>
        <w:t>Volume negociação: Volume negociado no fundo fechado nos últimos 12 meses</w:t>
      </w:r>
    </w:p>
    <w:p w:rsidR="004A637F" w:rsidRPr="00DE3690" w:rsidRDefault="004A637F" w:rsidP="00157FC4">
      <w:pPr>
        <w:pStyle w:val="Default"/>
        <w:jc w:val="both"/>
        <w:rPr>
          <w:rFonts w:asciiTheme="minorHAnsi" w:hAnsiTheme="minorHAnsi"/>
          <w:color w:val="auto"/>
        </w:rPr>
      </w:pPr>
    </w:p>
    <w:p w:rsidR="007217A5" w:rsidRPr="00DE3690" w:rsidRDefault="007217A5" w:rsidP="00157FC4">
      <w:pPr>
        <w:pStyle w:val="Default"/>
        <w:jc w:val="both"/>
        <w:rPr>
          <w:rFonts w:asciiTheme="minorHAnsi" w:hAnsiTheme="minorHAnsi"/>
          <w:color w:val="auto"/>
        </w:rPr>
      </w:pPr>
      <w:r w:rsidRPr="00DE3690">
        <w:rPr>
          <w:rFonts w:asciiTheme="minorHAnsi" w:hAnsiTheme="minorHAnsi"/>
          <w:color w:val="auto"/>
        </w:rPr>
        <w:t xml:space="preserve">Especificamente para atendimento à portaria MPAS Nº 440/2013, o gestor do </w:t>
      </w:r>
      <w:r w:rsidR="00646827" w:rsidRPr="00DE3690">
        <w:rPr>
          <w:rFonts w:asciiTheme="minorHAnsi" w:hAnsiTheme="minorHAnsi"/>
          <w:color w:val="auto"/>
        </w:rPr>
        <w:t>IPESMUC</w:t>
      </w:r>
      <w:r w:rsidRPr="00DE3690">
        <w:rPr>
          <w:rFonts w:asciiTheme="minorHAnsi" w:hAnsiTheme="minorHAnsi"/>
          <w:color w:val="auto"/>
        </w:rPr>
        <w:t xml:space="preserve"> deverá declarar ciência sobre a compatibilidade das aplicações que apresentem prazos para desinvestimento, em relação às obrigações financeiras presentes e futuras do regime</w:t>
      </w:r>
      <w:r w:rsidR="00622471" w:rsidRPr="00DE3690">
        <w:rPr>
          <w:rFonts w:asciiTheme="minorHAnsi" w:hAnsiTheme="minorHAnsi"/>
          <w:color w:val="auto"/>
        </w:rPr>
        <w:t>, conforme o anexo D deste documento.</w:t>
      </w:r>
    </w:p>
    <w:p w:rsidR="007217A5" w:rsidRPr="00DE3690" w:rsidRDefault="007217A5" w:rsidP="00157FC4">
      <w:pPr>
        <w:pStyle w:val="Default"/>
        <w:jc w:val="both"/>
        <w:rPr>
          <w:rFonts w:asciiTheme="minorHAnsi" w:hAnsiTheme="minorHAnsi"/>
          <w:color w:val="auto"/>
        </w:rPr>
      </w:pPr>
    </w:p>
    <w:p w:rsidR="00155D21" w:rsidRDefault="00155D21" w:rsidP="00157FC4">
      <w:pPr>
        <w:pStyle w:val="Ttulo2"/>
        <w:spacing w:before="0"/>
        <w:rPr>
          <w:rFonts w:asciiTheme="minorHAnsi" w:hAnsiTheme="minorHAnsi"/>
          <w:i w:val="0"/>
          <w:szCs w:val="24"/>
          <w:lang w:val="pt-BR"/>
        </w:rPr>
      </w:pPr>
      <w:bookmarkStart w:id="42" w:name="_Toc525634205"/>
    </w:p>
    <w:p w:rsidR="00155D21" w:rsidRDefault="00155D21" w:rsidP="00157FC4">
      <w:pPr>
        <w:pStyle w:val="Ttulo2"/>
        <w:spacing w:before="0"/>
        <w:rPr>
          <w:rFonts w:asciiTheme="minorHAnsi" w:hAnsiTheme="minorHAnsi"/>
          <w:i w:val="0"/>
          <w:szCs w:val="24"/>
          <w:lang w:val="pt-BR"/>
        </w:rPr>
      </w:pPr>
    </w:p>
    <w:p w:rsidR="00155D21" w:rsidRDefault="00155D21" w:rsidP="00157FC4">
      <w:pPr>
        <w:pStyle w:val="Ttulo2"/>
        <w:spacing w:before="0"/>
        <w:rPr>
          <w:rFonts w:asciiTheme="minorHAnsi" w:hAnsiTheme="minorHAnsi"/>
          <w:i w:val="0"/>
          <w:szCs w:val="24"/>
          <w:lang w:val="pt-BR"/>
        </w:rPr>
      </w:pPr>
    </w:p>
    <w:p w:rsidR="00155D21" w:rsidRDefault="00155D21" w:rsidP="00157FC4">
      <w:pPr>
        <w:pStyle w:val="Ttulo2"/>
        <w:spacing w:before="0"/>
        <w:rPr>
          <w:rFonts w:asciiTheme="minorHAnsi" w:hAnsiTheme="minorHAnsi"/>
          <w:i w:val="0"/>
          <w:szCs w:val="24"/>
          <w:lang w:val="pt-BR"/>
        </w:rPr>
      </w:pPr>
    </w:p>
    <w:p w:rsidR="00155D21" w:rsidRDefault="00155D21" w:rsidP="00157FC4">
      <w:pPr>
        <w:pStyle w:val="Ttulo2"/>
        <w:spacing w:before="0"/>
        <w:rPr>
          <w:rFonts w:asciiTheme="minorHAnsi" w:hAnsiTheme="minorHAnsi"/>
          <w:i w:val="0"/>
          <w:szCs w:val="24"/>
          <w:lang w:val="pt-BR"/>
        </w:rPr>
      </w:pPr>
    </w:p>
    <w:p w:rsidR="00ED01AA" w:rsidRPr="00DE3690" w:rsidRDefault="00ED01AA" w:rsidP="00157FC4">
      <w:pPr>
        <w:pStyle w:val="Ttulo2"/>
        <w:spacing w:before="0"/>
        <w:rPr>
          <w:rFonts w:asciiTheme="minorHAnsi" w:hAnsiTheme="minorHAnsi"/>
          <w:i w:val="0"/>
          <w:szCs w:val="24"/>
          <w:lang w:val="pt-BR"/>
        </w:rPr>
      </w:pPr>
      <w:r w:rsidRPr="00DE3690">
        <w:rPr>
          <w:rFonts w:asciiTheme="minorHAnsi" w:hAnsiTheme="minorHAnsi"/>
          <w:i w:val="0"/>
          <w:szCs w:val="24"/>
          <w:lang w:val="pt-BR"/>
        </w:rPr>
        <w:t xml:space="preserve">Concentração de alocação em </w:t>
      </w:r>
      <w:r w:rsidR="00983C32" w:rsidRPr="00DE3690">
        <w:rPr>
          <w:rFonts w:asciiTheme="minorHAnsi" w:hAnsiTheme="minorHAnsi"/>
          <w:i w:val="0"/>
          <w:szCs w:val="24"/>
          <w:lang w:val="pt-BR"/>
        </w:rPr>
        <w:t>instituições</w:t>
      </w:r>
      <w:r w:rsidR="00BD5CD2" w:rsidRPr="00DE3690">
        <w:rPr>
          <w:rFonts w:asciiTheme="minorHAnsi" w:hAnsiTheme="minorHAnsi"/>
          <w:i w:val="0"/>
          <w:szCs w:val="24"/>
          <w:lang w:val="pt-BR"/>
        </w:rPr>
        <w:t xml:space="preserve"> e fundos</w:t>
      </w:r>
      <w:bookmarkEnd w:id="42"/>
    </w:p>
    <w:p w:rsidR="002F6FD5" w:rsidRPr="00DE3690" w:rsidRDefault="002F6FD5" w:rsidP="002F6FD5">
      <w:pPr>
        <w:pStyle w:val="Default"/>
        <w:jc w:val="both"/>
        <w:rPr>
          <w:rFonts w:asciiTheme="minorHAnsi" w:hAnsiTheme="minorHAnsi"/>
          <w:color w:val="auto"/>
        </w:rPr>
      </w:pPr>
      <w:r w:rsidRPr="00B17B28">
        <w:rPr>
          <w:rFonts w:asciiTheme="minorHAnsi" w:hAnsiTheme="minorHAnsi"/>
          <w:color w:val="auto"/>
          <w:u w:val="single"/>
        </w:rPr>
        <w:t>Concentração de alocação em instituições:</w:t>
      </w:r>
      <w:r w:rsidRPr="00B17B28">
        <w:rPr>
          <w:rFonts w:asciiTheme="minorHAnsi" w:hAnsiTheme="minorHAnsi"/>
          <w:color w:val="auto"/>
        </w:rPr>
        <w:t xml:space="preserve"> O gerenciamento do risco de concentração consiste na observação de diretrizes elaboradas pelo comitê de investimentos em relação aos valores máximos possíveis para alocação </w:t>
      </w:r>
      <w:r w:rsidR="00C56171">
        <w:rPr>
          <w:rFonts w:asciiTheme="minorHAnsi" w:hAnsiTheme="minorHAnsi"/>
          <w:color w:val="auto"/>
        </w:rPr>
        <w:t xml:space="preserve">nas </w:t>
      </w:r>
      <w:r w:rsidRPr="00B17B28">
        <w:rPr>
          <w:rFonts w:asciiTheme="minorHAnsi" w:hAnsiTheme="minorHAnsi"/>
          <w:color w:val="auto"/>
        </w:rPr>
        <w:t>instituiç</w:t>
      </w:r>
      <w:r w:rsidR="00C56171">
        <w:rPr>
          <w:rFonts w:asciiTheme="minorHAnsi" w:hAnsiTheme="minorHAnsi"/>
          <w:color w:val="auto"/>
        </w:rPr>
        <w:t>ões financeiras</w:t>
      </w:r>
      <w:r w:rsidRPr="00B17B28">
        <w:rPr>
          <w:rFonts w:asciiTheme="minorHAnsi" w:hAnsiTheme="minorHAnsi"/>
          <w:color w:val="auto"/>
        </w:rPr>
        <w:t xml:space="preserve">. Desta forma, o IPESMUC optou por uma regra que estipula </w:t>
      </w:r>
      <w:r w:rsidR="00B17B28">
        <w:rPr>
          <w:rFonts w:asciiTheme="minorHAnsi" w:hAnsiTheme="minorHAnsi"/>
          <w:color w:val="auto"/>
        </w:rPr>
        <w:t xml:space="preserve">que os recursos </w:t>
      </w:r>
      <w:r w:rsidR="007E52D5">
        <w:rPr>
          <w:rFonts w:asciiTheme="minorHAnsi" w:hAnsiTheme="minorHAnsi"/>
          <w:color w:val="auto"/>
        </w:rPr>
        <w:t xml:space="preserve">somente </w:t>
      </w:r>
      <w:r w:rsidR="00B17B28">
        <w:rPr>
          <w:rFonts w:asciiTheme="minorHAnsi" w:hAnsiTheme="minorHAnsi"/>
          <w:color w:val="auto"/>
        </w:rPr>
        <w:t xml:space="preserve">serão aplicados na Caixa </w:t>
      </w:r>
      <w:proofErr w:type="spellStart"/>
      <w:r w:rsidR="00B17B28">
        <w:rPr>
          <w:rFonts w:asciiTheme="minorHAnsi" w:hAnsiTheme="minorHAnsi"/>
          <w:color w:val="auto"/>
        </w:rPr>
        <w:t>Economica</w:t>
      </w:r>
      <w:proofErr w:type="spellEnd"/>
      <w:r w:rsidR="00B17B28">
        <w:rPr>
          <w:rFonts w:asciiTheme="minorHAnsi" w:hAnsiTheme="minorHAnsi"/>
          <w:color w:val="auto"/>
        </w:rPr>
        <w:t xml:space="preserve"> Federal e</w:t>
      </w:r>
      <w:r w:rsidR="007E52D5">
        <w:rPr>
          <w:rFonts w:asciiTheme="minorHAnsi" w:hAnsiTheme="minorHAnsi"/>
          <w:color w:val="auto"/>
        </w:rPr>
        <w:t>/ou</w:t>
      </w:r>
      <w:r w:rsidR="00B17B28">
        <w:rPr>
          <w:rFonts w:asciiTheme="minorHAnsi" w:hAnsiTheme="minorHAnsi"/>
          <w:color w:val="auto"/>
        </w:rPr>
        <w:t xml:space="preserve"> no Banco do Brasil S/A, </w:t>
      </w:r>
      <w:r w:rsidRPr="00B17B28">
        <w:rPr>
          <w:rFonts w:asciiTheme="minorHAnsi" w:hAnsiTheme="minorHAnsi"/>
          <w:color w:val="auto"/>
        </w:rPr>
        <w:t>que poderão receber até cem po</w:t>
      </w:r>
      <w:r w:rsidR="00C56171">
        <w:rPr>
          <w:rFonts w:asciiTheme="minorHAnsi" w:hAnsiTheme="minorHAnsi"/>
          <w:color w:val="auto"/>
        </w:rPr>
        <w:t>r cento dos recursos do IPESMUC, conforme decisão d</w:t>
      </w:r>
      <w:r w:rsidR="004C37F1">
        <w:rPr>
          <w:rFonts w:asciiTheme="minorHAnsi" w:hAnsiTheme="minorHAnsi"/>
          <w:color w:val="auto"/>
        </w:rPr>
        <w:t>e seu colegiado</w:t>
      </w:r>
      <w:r w:rsidR="00C56171">
        <w:rPr>
          <w:rFonts w:asciiTheme="minorHAnsi" w:hAnsiTheme="minorHAnsi"/>
          <w:color w:val="auto"/>
        </w:rPr>
        <w:t>.</w:t>
      </w:r>
    </w:p>
    <w:p w:rsidR="00A2084F" w:rsidRPr="00DE3690" w:rsidRDefault="00A2084F" w:rsidP="00157FC4">
      <w:pPr>
        <w:pStyle w:val="Default"/>
        <w:jc w:val="both"/>
        <w:rPr>
          <w:rFonts w:asciiTheme="minorHAnsi" w:hAnsiTheme="minorHAnsi"/>
          <w:color w:val="auto"/>
        </w:rPr>
      </w:pPr>
    </w:p>
    <w:p w:rsidR="00B520FF" w:rsidRPr="00DE3690" w:rsidRDefault="00B520FF" w:rsidP="00157FC4">
      <w:pPr>
        <w:pStyle w:val="Ttulo1"/>
        <w:spacing w:before="0" w:after="0"/>
        <w:rPr>
          <w:rFonts w:asciiTheme="minorHAnsi" w:eastAsiaTheme="minorHAnsi" w:hAnsiTheme="minorHAnsi"/>
          <w:bCs w:val="0"/>
          <w:caps/>
          <w:kern w:val="0"/>
          <w:sz w:val="24"/>
          <w:szCs w:val="24"/>
          <w:lang w:val="pt-BR"/>
        </w:rPr>
      </w:pPr>
      <w:bookmarkStart w:id="43" w:name="_Toc525634206"/>
      <w:r w:rsidRPr="00DE3690">
        <w:rPr>
          <w:rFonts w:asciiTheme="minorHAnsi" w:eastAsiaTheme="minorHAnsi" w:hAnsiTheme="minorHAnsi"/>
          <w:bCs w:val="0"/>
          <w:caps/>
          <w:kern w:val="0"/>
          <w:sz w:val="24"/>
          <w:szCs w:val="24"/>
          <w:lang w:val="pt-BR"/>
        </w:rPr>
        <w:t>VI – ACOMPANHAMENTO DOS INVESTIMENTOS</w:t>
      </w:r>
      <w:bookmarkEnd w:id="43"/>
    </w:p>
    <w:p w:rsidR="00A2084F" w:rsidRPr="00DE3690" w:rsidRDefault="00B520FF" w:rsidP="00157FC4">
      <w:pPr>
        <w:pStyle w:val="Default"/>
        <w:jc w:val="both"/>
        <w:rPr>
          <w:rFonts w:asciiTheme="minorHAnsi" w:hAnsiTheme="minorHAnsi"/>
          <w:color w:val="auto"/>
        </w:rPr>
      </w:pPr>
      <w:r w:rsidRPr="00DE3690">
        <w:rPr>
          <w:rFonts w:asciiTheme="minorHAnsi" w:hAnsiTheme="minorHAnsi"/>
          <w:color w:val="auto"/>
        </w:rPr>
        <w:t xml:space="preserve">O </w:t>
      </w:r>
      <w:r w:rsidR="00646827" w:rsidRPr="00DE3690">
        <w:rPr>
          <w:rFonts w:asciiTheme="minorHAnsi" w:hAnsiTheme="minorHAnsi"/>
          <w:b/>
          <w:color w:val="auto"/>
        </w:rPr>
        <w:t>IPESMUC</w:t>
      </w:r>
      <w:r w:rsidRPr="00DE3690">
        <w:rPr>
          <w:rFonts w:asciiTheme="minorHAnsi" w:hAnsiTheme="minorHAnsi"/>
          <w:color w:val="auto"/>
        </w:rPr>
        <w:t xml:space="preserve"> realizará periodicamente reuniões com os consultores de investimentos, com o objetivo de avaliar a </w:t>
      </w:r>
      <w:r w:rsidRPr="00DE3690">
        <w:rPr>
          <w:rFonts w:asciiTheme="minorHAnsi" w:hAnsiTheme="minorHAnsi"/>
          <w:iCs/>
          <w:color w:val="auto"/>
        </w:rPr>
        <w:t xml:space="preserve">performance </w:t>
      </w:r>
      <w:r w:rsidRPr="00DE3690">
        <w:rPr>
          <w:rFonts w:asciiTheme="minorHAnsi" w:hAnsiTheme="minorHAnsi"/>
          <w:color w:val="auto"/>
        </w:rPr>
        <w:t xml:space="preserve">das aplicações financeiras existentes, discutir eventuais alternativas de novos investimentos, em decorrência do cenário econômico. </w:t>
      </w:r>
    </w:p>
    <w:p w:rsidR="00A2084F" w:rsidRPr="00DE3690" w:rsidRDefault="00A2084F" w:rsidP="00157FC4">
      <w:pPr>
        <w:pStyle w:val="Default"/>
        <w:jc w:val="both"/>
        <w:rPr>
          <w:rFonts w:asciiTheme="minorHAnsi" w:hAnsiTheme="minorHAnsi"/>
          <w:color w:val="auto"/>
        </w:rPr>
      </w:pPr>
    </w:p>
    <w:p w:rsidR="00B520FF" w:rsidRPr="00DE3690" w:rsidRDefault="00B520FF" w:rsidP="00157FC4">
      <w:pPr>
        <w:pStyle w:val="Default"/>
        <w:jc w:val="both"/>
        <w:rPr>
          <w:rFonts w:asciiTheme="minorHAnsi" w:hAnsiTheme="minorHAnsi"/>
          <w:color w:val="auto"/>
        </w:rPr>
      </w:pPr>
      <w:r w:rsidRPr="00DE3690">
        <w:rPr>
          <w:rFonts w:asciiTheme="minorHAnsi" w:hAnsiTheme="minorHAnsi"/>
          <w:color w:val="auto"/>
        </w:rPr>
        <w:t xml:space="preserve">As reuniões poderão ocorrer de forma presencial, via telefone, ou outros meios disponibilizados pela consultoria, desde que contenham todo o material para acompanhamento (rentabilidade dos produtos, carteira consolidada de investimentos, rentabilidade da carteira e enquadramento dos produtos junto a Resolução CMN Nº 3.922/10, Nº 4.392/14 e Nº 4.604/2017). </w:t>
      </w:r>
    </w:p>
    <w:p w:rsidR="004A637F" w:rsidRPr="00DE3690" w:rsidRDefault="004A637F" w:rsidP="00157FC4">
      <w:pPr>
        <w:pStyle w:val="Default"/>
        <w:jc w:val="both"/>
        <w:rPr>
          <w:rFonts w:asciiTheme="minorHAnsi" w:hAnsiTheme="minorHAnsi"/>
          <w:color w:val="auto"/>
        </w:rPr>
      </w:pPr>
    </w:p>
    <w:p w:rsidR="00863712" w:rsidRDefault="00863712" w:rsidP="00157FC4">
      <w:pPr>
        <w:pStyle w:val="Default"/>
        <w:jc w:val="both"/>
        <w:rPr>
          <w:rFonts w:asciiTheme="minorHAnsi" w:hAnsiTheme="minorHAnsi"/>
          <w:color w:val="auto"/>
        </w:rPr>
      </w:pPr>
      <w:r w:rsidRPr="00DE3690">
        <w:rPr>
          <w:rFonts w:asciiTheme="minorHAnsi" w:hAnsiTheme="minorHAnsi"/>
          <w:color w:val="auto"/>
        </w:rPr>
        <w:t xml:space="preserve">No processo de desinvestimento, as diretrizes estabelecidas buscam maior ênfase no aspecto rentabilidade, contudo, produtos ou ativos em que o gestor do RPPS constatar a possibilidade de prejuízos ou até mesmo de performance insatisfatória, poderão passar pelo processo de desinvestimento. </w:t>
      </w:r>
      <w:r w:rsidR="002C03C3" w:rsidRPr="00DE3690">
        <w:rPr>
          <w:rFonts w:asciiTheme="minorHAnsi" w:hAnsiTheme="minorHAnsi"/>
          <w:color w:val="auto"/>
        </w:rPr>
        <w:t>Para tanto, serão acompanhados os seguintes indicadores de performance e risco, conforme a classificação por classes e subclasses de investimentos desta Política de Investimentos na tabela a seguir:</w:t>
      </w: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Default="00155D21" w:rsidP="00157FC4">
      <w:pPr>
        <w:pStyle w:val="Default"/>
        <w:jc w:val="both"/>
        <w:rPr>
          <w:rFonts w:asciiTheme="minorHAnsi" w:hAnsiTheme="minorHAnsi"/>
          <w:color w:val="auto"/>
        </w:rPr>
      </w:pPr>
    </w:p>
    <w:p w:rsidR="00155D21" w:rsidRPr="00DE3690" w:rsidRDefault="00155D21" w:rsidP="00157FC4">
      <w:pPr>
        <w:pStyle w:val="Default"/>
        <w:jc w:val="both"/>
        <w:rPr>
          <w:rFonts w:asciiTheme="minorHAnsi" w:hAnsiTheme="minorHAnsi"/>
          <w:color w:val="auto"/>
        </w:rPr>
      </w:pPr>
    </w:p>
    <w:p w:rsidR="002C03C3" w:rsidRPr="00DE3690" w:rsidRDefault="002C03C3" w:rsidP="00157FC4">
      <w:pPr>
        <w:pStyle w:val="Default"/>
        <w:jc w:val="both"/>
        <w:rPr>
          <w:rFonts w:asciiTheme="minorHAnsi" w:hAnsiTheme="minorHAnsi"/>
          <w:color w:val="auto"/>
        </w:rPr>
      </w:pPr>
    </w:p>
    <w:tbl>
      <w:tblPr>
        <w:tblStyle w:val="Tabelacomgrade"/>
        <w:tblW w:w="4894" w:type="pct"/>
        <w:tblInd w:w="108" w:type="dxa"/>
        <w:tblLook w:val="04A0" w:firstRow="1" w:lastRow="0" w:firstColumn="1" w:lastColumn="0" w:noHBand="0" w:noVBand="1"/>
      </w:tblPr>
      <w:tblGrid>
        <w:gridCol w:w="2426"/>
        <w:gridCol w:w="1892"/>
        <w:gridCol w:w="2655"/>
        <w:gridCol w:w="2949"/>
      </w:tblGrid>
      <w:tr w:rsidR="002C03C3" w:rsidRPr="00DE3690" w:rsidTr="001E00D2">
        <w:tc>
          <w:tcPr>
            <w:tcW w:w="1222" w:type="pct"/>
          </w:tcPr>
          <w:p w:rsidR="002C03C3" w:rsidRPr="00DE3690" w:rsidRDefault="002C03C3" w:rsidP="00157FC4">
            <w:pPr>
              <w:pStyle w:val="Default"/>
              <w:jc w:val="both"/>
              <w:rPr>
                <w:rFonts w:asciiTheme="minorHAnsi" w:hAnsiTheme="minorHAnsi"/>
                <w:b/>
                <w:color w:val="auto"/>
                <w:sz w:val="22"/>
                <w:szCs w:val="22"/>
              </w:rPr>
            </w:pPr>
            <w:r w:rsidRPr="00DE3690">
              <w:rPr>
                <w:rFonts w:asciiTheme="minorHAnsi" w:hAnsiTheme="minorHAnsi"/>
                <w:b/>
                <w:color w:val="auto"/>
                <w:sz w:val="22"/>
                <w:szCs w:val="22"/>
              </w:rPr>
              <w:t>Classes</w:t>
            </w:r>
          </w:p>
        </w:tc>
        <w:tc>
          <w:tcPr>
            <w:tcW w:w="953" w:type="pct"/>
          </w:tcPr>
          <w:p w:rsidR="002C03C3" w:rsidRPr="00DE3690" w:rsidRDefault="002C03C3" w:rsidP="00157FC4">
            <w:pPr>
              <w:pStyle w:val="Default"/>
              <w:jc w:val="both"/>
              <w:rPr>
                <w:rFonts w:asciiTheme="minorHAnsi" w:hAnsiTheme="minorHAnsi"/>
                <w:b/>
                <w:color w:val="auto"/>
                <w:sz w:val="22"/>
                <w:szCs w:val="22"/>
              </w:rPr>
            </w:pPr>
            <w:r w:rsidRPr="00DE3690">
              <w:rPr>
                <w:rFonts w:asciiTheme="minorHAnsi" w:hAnsiTheme="minorHAnsi"/>
                <w:b/>
                <w:color w:val="auto"/>
                <w:sz w:val="22"/>
                <w:szCs w:val="22"/>
              </w:rPr>
              <w:t>Artigos da Res. CMN</w:t>
            </w:r>
          </w:p>
        </w:tc>
        <w:tc>
          <w:tcPr>
            <w:tcW w:w="1338" w:type="pct"/>
          </w:tcPr>
          <w:p w:rsidR="002C03C3" w:rsidRPr="00DE3690" w:rsidRDefault="002C03C3" w:rsidP="00157FC4">
            <w:pPr>
              <w:pStyle w:val="Default"/>
              <w:jc w:val="both"/>
              <w:rPr>
                <w:rFonts w:asciiTheme="minorHAnsi" w:hAnsiTheme="minorHAnsi"/>
                <w:b/>
                <w:color w:val="auto"/>
                <w:sz w:val="22"/>
                <w:szCs w:val="22"/>
              </w:rPr>
            </w:pPr>
            <w:r w:rsidRPr="00DE3690">
              <w:rPr>
                <w:rFonts w:asciiTheme="minorHAnsi" w:hAnsiTheme="minorHAnsi"/>
                <w:b/>
                <w:color w:val="auto"/>
                <w:sz w:val="22"/>
                <w:szCs w:val="22"/>
              </w:rPr>
              <w:t>Indicadores de Desempenho</w:t>
            </w:r>
          </w:p>
        </w:tc>
        <w:tc>
          <w:tcPr>
            <w:tcW w:w="1486" w:type="pct"/>
          </w:tcPr>
          <w:p w:rsidR="002C03C3" w:rsidRPr="00DE3690" w:rsidRDefault="002C03C3" w:rsidP="00157FC4">
            <w:pPr>
              <w:pStyle w:val="Default"/>
              <w:jc w:val="both"/>
              <w:rPr>
                <w:rFonts w:asciiTheme="minorHAnsi" w:hAnsiTheme="minorHAnsi"/>
                <w:b/>
                <w:color w:val="auto"/>
                <w:sz w:val="22"/>
                <w:szCs w:val="22"/>
              </w:rPr>
            </w:pPr>
            <w:r w:rsidRPr="00DE3690">
              <w:rPr>
                <w:rFonts w:asciiTheme="minorHAnsi" w:hAnsiTheme="minorHAnsi"/>
                <w:b/>
                <w:color w:val="auto"/>
                <w:sz w:val="22"/>
                <w:szCs w:val="22"/>
              </w:rPr>
              <w:t>Recomendação de Desinvestimento</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a.1) Títulos Públicos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I, a</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a.2) Fundos de Índice de Renda Fixa 100% Títulos Públicos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I, b | 7°, I, c</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b.1) Títulos Privados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V, b | 7°, VI, a | 7°, VI,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Analise de crédito da instituição emissora da LIG. CDB E POUPANÇA VEDADOS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Desinvestimento através de venda no merc. Secundário em emissor não grau de investimento</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b.2) Fundos de Renda Fixa Abertos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III, a | 7°, III, b | 7°, IV, a | 7°, IV,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Performance acima do indexador em 6 e 12 meses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Resgate parcial após 6 meses e resgate integral após 12 meses </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b.3) Fundos de Renda Fixa Crédito Privado</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VII,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Performance acima do indexador em 6 e 12 meses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Resgate parcial após 6 meses e resgate integral após 12 meses </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b.4) FI Direitos Creditórios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VII, a</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VEDADO</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VEDADO</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b.5) FI em Debêntures de Infraestrutura</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7°, VII, c</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Performance acima do indexador em 6 e 12 meses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Resgate parcial após 6 meses e resgate integral após 12 meses </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c.1) Fundos de Índice de Ações ou Referenciados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8°, I, a | 8°, I,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NÃO HÁ</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c.2) Fundos de Ações Abertos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8°, II, a | 8°, II,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Ações com estratégias diferenciadas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Mercado</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c.3) Multimercados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8°, III</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Performance acima do indexador em 6 e 12 meses</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 xml:space="preserve">Resgate parcial após 6 meses e resgate integral após 12 meses </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d.1) Fundos Imobiliários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8°, IV, b</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Performance da cota + distribuição de lucros acima do indexador</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Venda parcial após 6 meses e venda total após 12 meses</w:t>
            </w:r>
          </w:p>
        </w:tc>
      </w:tr>
      <w:tr w:rsidR="002C03C3" w:rsidRPr="00DE3690" w:rsidTr="001E00D2">
        <w:tc>
          <w:tcPr>
            <w:tcW w:w="1222"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d.2) Fundos de Participações</w:t>
            </w:r>
          </w:p>
        </w:tc>
        <w:tc>
          <w:tcPr>
            <w:tcW w:w="953"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8°, IV, a</w:t>
            </w:r>
          </w:p>
        </w:tc>
        <w:tc>
          <w:tcPr>
            <w:tcW w:w="1338"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VEDADO</w:t>
            </w:r>
          </w:p>
        </w:tc>
        <w:tc>
          <w:tcPr>
            <w:tcW w:w="1486" w:type="pct"/>
          </w:tcPr>
          <w:p w:rsidR="002C03C3" w:rsidRPr="00DE3690" w:rsidRDefault="002C03C3" w:rsidP="00157FC4">
            <w:pPr>
              <w:pStyle w:val="Default"/>
              <w:jc w:val="both"/>
              <w:rPr>
                <w:rFonts w:asciiTheme="minorHAnsi" w:hAnsiTheme="minorHAnsi"/>
                <w:color w:val="auto"/>
                <w:sz w:val="22"/>
                <w:szCs w:val="22"/>
              </w:rPr>
            </w:pPr>
            <w:r w:rsidRPr="00DE3690">
              <w:rPr>
                <w:rFonts w:asciiTheme="minorHAnsi" w:hAnsiTheme="minorHAnsi"/>
                <w:color w:val="auto"/>
                <w:sz w:val="22"/>
                <w:szCs w:val="22"/>
              </w:rPr>
              <w:t>VEDADO</w:t>
            </w:r>
          </w:p>
        </w:tc>
      </w:tr>
    </w:tbl>
    <w:p w:rsidR="002C03C3" w:rsidRPr="00DE3690" w:rsidRDefault="002C03C3" w:rsidP="00157FC4">
      <w:pPr>
        <w:pStyle w:val="Default"/>
        <w:jc w:val="both"/>
        <w:rPr>
          <w:rFonts w:asciiTheme="minorHAnsi" w:hAnsiTheme="minorHAnsi"/>
          <w:color w:val="auto"/>
        </w:rPr>
      </w:pPr>
    </w:p>
    <w:p w:rsidR="00863712" w:rsidRPr="00DE3690" w:rsidRDefault="00863712" w:rsidP="00157FC4">
      <w:pPr>
        <w:pStyle w:val="Default"/>
        <w:jc w:val="both"/>
        <w:rPr>
          <w:rFonts w:asciiTheme="minorHAnsi" w:hAnsiTheme="minorHAnsi"/>
          <w:color w:val="auto"/>
        </w:rPr>
      </w:pPr>
      <w:r w:rsidRPr="00DE3690">
        <w:rPr>
          <w:rFonts w:asciiTheme="minorHAnsi" w:hAnsiTheme="minorHAnsi"/>
          <w:color w:val="auto"/>
        </w:rPr>
        <w:t>Todas as movimentações, considerando as aplicações ou resgates dos recursos dos RPPS deverão ser acompanhadas do formulário APR - Autorização de Aplicação e Resgate, disponíveis do aplicativo CADPREV e disponibilizado no endereço eletrônico do MPS na rede mundial de computadores internet (www.previdencia.gov.br)</w:t>
      </w:r>
    </w:p>
    <w:p w:rsidR="00863712" w:rsidRPr="00DE3690" w:rsidRDefault="00863712" w:rsidP="00863712">
      <w:pPr>
        <w:pStyle w:val="Default"/>
        <w:jc w:val="both"/>
        <w:rPr>
          <w:rFonts w:asciiTheme="minorHAnsi" w:hAnsiTheme="minorHAnsi"/>
          <w:color w:val="auto"/>
        </w:rPr>
      </w:pPr>
    </w:p>
    <w:p w:rsidR="00863712" w:rsidRPr="00DE3690" w:rsidRDefault="00863712" w:rsidP="00863712">
      <w:pPr>
        <w:pStyle w:val="Default"/>
        <w:jc w:val="both"/>
        <w:rPr>
          <w:rFonts w:asciiTheme="minorHAnsi" w:hAnsiTheme="minorHAnsi"/>
          <w:color w:val="auto"/>
        </w:rPr>
      </w:pPr>
      <w:r w:rsidRPr="00DE3690">
        <w:rPr>
          <w:rFonts w:asciiTheme="minorHAnsi" w:hAnsiTheme="minorHAnsi"/>
          <w:color w:val="auto"/>
        </w:rPr>
        <w:t>Embora o RPPS busque investimentos no longo prazo, os gestores poderão realizar movimentos de investimentos e desinvestimentos no curto prazo, buscando distorções de preços, excessos de valorização ou desvalorização dos ativos financeiros.</w:t>
      </w:r>
    </w:p>
    <w:p w:rsidR="00155D21" w:rsidRDefault="00155D21" w:rsidP="00A3474B">
      <w:pPr>
        <w:pStyle w:val="Ttulo1"/>
        <w:rPr>
          <w:rFonts w:asciiTheme="minorHAnsi" w:eastAsiaTheme="minorHAnsi" w:hAnsiTheme="minorHAnsi"/>
          <w:bCs w:val="0"/>
          <w:caps/>
          <w:kern w:val="0"/>
          <w:sz w:val="24"/>
          <w:szCs w:val="24"/>
          <w:lang w:val="pt-BR"/>
        </w:rPr>
      </w:pPr>
      <w:bookmarkStart w:id="44" w:name="_Toc525634207"/>
    </w:p>
    <w:p w:rsidR="00155D21" w:rsidRDefault="00155D21" w:rsidP="00A3474B">
      <w:pPr>
        <w:pStyle w:val="Ttulo1"/>
        <w:rPr>
          <w:rFonts w:asciiTheme="minorHAnsi" w:eastAsiaTheme="minorHAnsi" w:hAnsiTheme="minorHAnsi"/>
          <w:bCs w:val="0"/>
          <w:caps/>
          <w:kern w:val="0"/>
          <w:sz w:val="24"/>
          <w:szCs w:val="24"/>
          <w:lang w:val="pt-BR"/>
        </w:rPr>
      </w:pPr>
    </w:p>
    <w:p w:rsidR="00155D21" w:rsidRDefault="00155D21" w:rsidP="00A3474B">
      <w:pPr>
        <w:pStyle w:val="Ttulo1"/>
        <w:rPr>
          <w:rFonts w:asciiTheme="minorHAnsi" w:eastAsiaTheme="minorHAnsi" w:hAnsiTheme="minorHAnsi"/>
          <w:bCs w:val="0"/>
          <w:caps/>
          <w:kern w:val="0"/>
          <w:sz w:val="24"/>
          <w:szCs w:val="24"/>
          <w:lang w:val="pt-BR"/>
        </w:rPr>
      </w:pPr>
    </w:p>
    <w:p w:rsidR="003A5F75" w:rsidRPr="00DE3690" w:rsidRDefault="003A5F75" w:rsidP="00A3474B">
      <w:pPr>
        <w:pStyle w:val="Ttulo1"/>
        <w:rPr>
          <w:rFonts w:asciiTheme="minorHAnsi" w:eastAsiaTheme="minorHAnsi" w:hAnsiTheme="minorHAnsi"/>
          <w:bCs w:val="0"/>
          <w:caps/>
          <w:kern w:val="0"/>
          <w:sz w:val="24"/>
          <w:szCs w:val="24"/>
          <w:lang w:val="pt-BR"/>
        </w:rPr>
      </w:pPr>
      <w:r w:rsidRPr="00DE3690">
        <w:rPr>
          <w:rFonts w:asciiTheme="minorHAnsi" w:eastAsiaTheme="minorHAnsi" w:hAnsiTheme="minorHAnsi"/>
          <w:bCs w:val="0"/>
          <w:caps/>
          <w:kern w:val="0"/>
          <w:sz w:val="24"/>
          <w:szCs w:val="24"/>
          <w:lang w:val="pt-BR"/>
        </w:rPr>
        <w:t>VI</w:t>
      </w:r>
      <w:r w:rsidR="00B520FF" w:rsidRPr="00DE3690">
        <w:rPr>
          <w:rFonts w:asciiTheme="minorHAnsi" w:eastAsiaTheme="minorHAnsi" w:hAnsiTheme="minorHAnsi"/>
          <w:bCs w:val="0"/>
          <w:caps/>
          <w:kern w:val="0"/>
          <w:sz w:val="24"/>
          <w:szCs w:val="24"/>
          <w:lang w:val="pt-BR"/>
        </w:rPr>
        <w:t>I</w:t>
      </w:r>
      <w:r w:rsidRPr="00DE3690">
        <w:rPr>
          <w:rFonts w:asciiTheme="minorHAnsi" w:eastAsiaTheme="minorHAnsi" w:hAnsiTheme="minorHAnsi"/>
          <w:bCs w:val="0"/>
          <w:caps/>
          <w:kern w:val="0"/>
          <w:sz w:val="24"/>
          <w:szCs w:val="24"/>
          <w:lang w:val="pt-BR"/>
        </w:rPr>
        <w:t xml:space="preserve"> - VEDAÇÕES</w:t>
      </w:r>
      <w:bookmarkEnd w:id="44"/>
    </w:p>
    <w:p w:rsidR="001E00D2" w:rsidRPr="00DE3690" w:rsidRDefault="003A5F75" w:rsidP="00D177A5">
      <w:pPr>
        <w:pStyle w:val="Default"/>
        <w:jc w:val="both"/>
        <w:rPr>
          <w:rFonts w:asciiTheme="minorHAnsi" w:hAnsiTheme="minorHAnsi"/>
          <w:color w:val="auto"/>
        </w:rPr>
      </w:pPr>
      <w:r w:rsidRPr="00DE3690">
        <w:rPr>
          <w:rFonts w:asciiTheme="minorHAnsi" w:hAnsiTheme="minorHAnsi"/>
          <w:color w:val="auto"/>
        </w:rPr>
        <w:t xml:space="preserve">Além das vedações impostas nesta política de investimentos, o </w:t>
      </w:r>
      <w:r w:rsidR="00646827" w:rsidRPr="00DE3690">
        <w:rPr>
          <w:rFonts w:asciiTheme="minorHAnsi" w:hAnsiTheme="minorHAnsi"/>
          <w:b/>
          <w:color w:val="auto"/>
        </w:rPr>
        <w:t>IPESMUC</w:t>
      </w:r>
      <w:r w:rsidRPr="00DE3690">
        <w:rPr>
          <w:rFonts w:asciiTheme="minorHAnsi" w:hAnsiTheme="minorHAnsi"/>
          <w:color w:val="auto"/>
        </w:rPr>
        <w:t xml:space="preserve"> deverá </w:t>
      </w:r>
      <w:r w:rsidR="00DD3E7E" w:rsidRPr="00DE3690">
        <w:rPr>
          <w:rFonts w:asciiTheme="minorHAnsi" w:hAnsiTheme="minorHAnsi"/>
          <w:color w:val="auto"/>
        </w:rPr>
        <w:t>obedecer às</w:t>
      </w:r>
      <w:r w:rsidRPr="00DE3690">
        <w:rPr>
          <w:rFonts w:asciiTheme="minorHAnsi" w:hAnsiTheme="minorHAnsi"/>
          <w:color w:val="auto"/>
        </w:rPr>
        <w:t xml:space="preserve"> diretrizes e normas</w:t>
      </w:r>
      <w:r w:rsidR="00DD3E7E" w:rsidRPr="00DE3690">
        <w:rPr>
          <w:rFonts w:asciiTheme="minorHAnsi" w:hAnsiTheme="minorHAnsi"/>
          <w:color w:val="auto"/>
        </w:rPr>
        <w:t>, as definições e classificações dos produtos de investimentos</w:t>
      </w:r>
      <w:r w:rsidRPr="00DE3690">
        <w:rPr>
          <w:rFonts w:asciiTheme="minorHAnsi" w:hAnsiTheme="minorHAnsi"/>
          <w:color w:val="auto"/>
        </w:rPr>
        <w:t xml:space="preserve"> citadas na Resolução </w:t>
      </w:r>
      <w:r w:rsidR="008F0DC2" w:rsidRPr="00DE3690">
        <w:rPr>
          <w:rFonts w:asciiTheme="minorHAnsi" w:hAnsiTheme="minorHAnsi"/>
          <w:color w:val="auto"/>
        </w:rPr>
        <w:t>CMN Nº 3.922/10,</w:t>
      </w:r>
      <w:r w:rsidR="00617C02" w:rsidRPr="00DE3690">
        <w:rPr>
          <w:rFonts w:asciiTheme="minorHAnsi" w:hAnsiTheme="minorHAnsi"/>
          <w:color w:val="auto"/>
        </w:rPr>
        <w:t xml:space="preserve"> Nº 4.392/14</w:t>
      </w:r>
      <w:r w:rsidR="008F0DC2" w:rsidRPr="00DE3690">
        <w:rPr>
          <w:rFonts w:asciiTheme="minorHAnsi" w:hAnsiTheme="minorHAnsi"/>
          <w:color w:val="auto"/>
        </w:rPr>
        <w:t xml:space="preserve"> e Nº 4.604/17</w:t>
      </w:r>
      <w:r w:rsidR="00DD3E7E" w:rsidRPr="00DE3690">
        <w:rPr>
          <w:rFonts w:asciiTheme="minorHAnsi" w:hAnsiTheme="minorHAnsi"/>
          <w:color w:val="auto"/>
        </w:rPr>
        <w:t xml:space="preserve">. </w:t>
      </w:r>
    </w:p>
    <w:p w:rsidR="001E00D2" w:rsidRPr="00DE3690" w:rsidRDefault="001E00D2" w:rsidP="00D177A5">
      <w:pPr>
        <w:pStyle w:val="Default"/>
        <w:jc w:val="both"/>
        <w:rPr>
          <w:rFonts w:asciiTheme="minorHAnsi" w:hAnsiTheme="minorHAnsi"/>
          <w:color w:val="auto"/>
        </w:rPr>
      </w:pPr>
    </w:p>
    <w:p w:rsidR="003D7DB5" w:rsidRPr="00DE3690" w:rsidRDefault="00DD3E7E" w:rsidP="00D177A5">
      <w:pPr>
        <w:pStyle w:val="Default"/>
        <w:jc w:val="both"/>
        <w:rPr>
          <w:rFonts w:asciiTheme="minorHAnsi" w:hAnsiTheme="minorHAnsi"/>
          <w:b/>
          <w:color w:val="auto"/>
        </w:rPr>
      </w:pPr>
      <w:r w:rsidRPr="00DE3690">
        <w:rPr>
          <w:rFonts w:asciiTheme="minorHAnsi" w:hAnsiTheme="minorHAnsi"/>
          <w:b/>
          <w:color w:val="auto"/>
        </w:rPr>
        <w:t>Para as vedações, deverá ser ver</w:t>
      </w:r>
      <w:r w:rsidR="001E00D2" w:rsidRPr="00DE3690">
        <w:rPr>
          <w:rFonts w:asciiTheme="minorHAnsi" w:hAnsiTheme="minorHAnsi"/>
          <w:b/>
          <w:color w:val="auto"/>
        </w:rPr>
        <w:t>:</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Aplicar recursos na aquisição de cotas de fundo de investimento cuja atuação em mercados de derivativos gere exposição superior a uma vez o respectivo patrimônio líquido;</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Aplicar recursos, diretamente ou por meio de cotas de fundo de investimento, em títulos ou outros ativos financeiros nos quais ente federativo figure como emissor, devedor ou preste fiança, aval, aceite ou coobrigação sob qualquer outra forma;</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 xml:space="preserve">Aplicar recursos na aquisição de cotas de fundo de investimento em direitos creditórios não padronizados; </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 xml:space="preserve">Praticar diretamente as operações denominadas </w:t>
      </w:r>
      <w:proofErr w:type="spellStart"/>
      <w:r w:rsidR="00DD3E7E" w:rsidRPr="00DE3690">
        <w:rPr>
          <w:sz w:val="24"/>
          <w:szCs w:val="24"/>
        </w:rPr>
        <w:t>day</w:t>
      </w:r>
      <w:proofErr w:type="spellEnd"/>
      <w:r w:rsidR="00DD3E7E" w:rsidRPr="00DE3690">
        <w:rPr>
          <w:sz w:val="24"/>
          <w:szCs w:val="24"/>
        </w:rPr>
        <w:t xml:space="preserve">-trade, </w:t>
      </w:r>
      <w:r w:rsidR="007536EE" w:rsidRPr="00DE3690">
        <w:rPr>
          <w:sz w:val="24"/>
          <w:szCs w:val="24"/>
        </w:rPr>
        <w:t xml:space="preserve">sendo o </w:t>
      </w:r>
      <w:r w:rsidR="00646827" w:rsidRPr="00DE3690">
        <w:rPr>
          <w:sz w:val="24"/>
          <w:szCs w:val="24"/>
        </w:rPr>
        <w:t>IPESMUC</w:t>
      </w:r>
      <w:r w:rsidR="007536EE" w:rsidRPr="00DE3690">
        <w:rPr>
          <w:sz w:val="24"/>
          <w:szCs w:val="24"/>
        </w:rPr>
        <w:t xml:space="preserve"> o próprio comitente, </w:t>
      </w:r>
      <w:r w:rsidR="00DD3E7E" w:rsidRPr="00DE3690">
        <w:rPr>
          <w:sz w:val="24"/>
          <w:szCs w:val="24"/>
        </w:rPr>
        <w:t>independentemente de o regime próprio possuir estoque ou posição anterior do mesmo ativo;</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 xml:space="preserve">Atuar em modalidades operacionais ou negociar com duplicatas, títulos de crédito ou outros ativos que não os previstos nesta Resolução. </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Negociar cotas de fundos de índice em mercado de balcão.</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Aplicar direta ou indiretamente recursos na aquisição de cotas de fundo de investimento destinado exclusivamente a investidores qualificados ou profissionais, quando não atendidos os critérios estabelecidos em regulamentação específica;</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Remunerar quaisquer prestadores de serviço relacionados direta ou indiretamente aos FI em que foram aplicados seus recursos, de forma distinta das seguintes: Taxas de administração, performance, ingresso ou saída previstas em regulamento; ou Encargos do fundo, nos termos da regulamentação da CVM;</w:t>
      </w:r>
    </w:p>
    <w:p w:rsidR="00DD3E7E" w:rsidRPr="00DE3690" w:rsidRDefault="001E00D2" w:rsidP="001E00D2">
      <w:pPr>
        <w:spacing w:after="0" w:line="240" w:lineRule="auto"/>
        <w:jc w:val="both"/>
        <w:rPr>
          <w:sz w:val="24"/>
          <w:szCs w:val="24"/>
        </w:rPr>
      </w:pPr>
      <w:r w:rsidRPr="00DE3690">
        <w:rPr>
          <w:sz w:val="24"/>
          <w:szCs w:val="24"/>
        </w:rPr>
        <w:t xml:space="preserve">- </w:t>
      </w:r>
      <w:r w:rsidR="00DD3E7E" w:rsidRPr="00DE3690">
        <w:rPr>
          <w:sz w:val="24"/>
          <w:szCs w:val="24"/>
        </w:rPr>
        <w:t>Aplicar recursos na aquisição de cotas de fundo de investimento cujos prestadores de serviço, ou partes a eles relacionadas, direta ou indiretamente, figurem como emissores dos ativos das carteiras, salvo as hipóteses previstas na regulamentação da CVM.” (NR)</w:t>
      </w:r>
    </w:p>
    <w:p w:rsidR="003A5F75" w:rsidRPr="00DE3690" w:rsidRDefault="00DE3F0D" w:rsidP="00A3474B">
      <w:pPr>
        <w:pStyle w:val="Ttulo1"/>
        <w:rPr>
          <w:rFonts w:asciiTheme="minorHAnsi" w:eastAsiaTheme="minorHAnsi" w:hAnsiTheme="minorHAnsi"/>
          <w:bCs w:val="0"/>
          <w:caps/>
          <w:kern w:val="0"/>
          <w:sz w:val="24"/>
          <w:szCs w:val="24"/>
          <w:lang w:val="pt-BR"/>
        </w:rPr>
      </w:pPr>
      <w:bookmarkStart w:id="45" w:name="_Toc525634208"/>
      <w:r w:rsidRPr="00DE3690">
        <w:rPr>
          <w:rFonts w:asciiTheme="minorHAnsi" w:eastAsiaTheme="minorHAnsi" w:hAnsiTheme="minorHAnsi"/>
          <w:bCs w:val="0"/>
          <w:caps/>
          <w:kern w:val="0"/>
          <w:sz w:val="24"/>
          <w:szCs w:val="24"/>
          <w:lang w:val="pt-BR"/>
        </w:rPr>
        <w:t xml:space="preserve">VIII </w:t>
      </w:r>
      <w:r w:rsidR="003A5F75" w:rsidRPr="00DE3690">
        <w:rPr>
          <w:rFonts w:asciiTheme="minorHAnsi" w:eastAsiaTheme="minorHAnsi" w:hAnsiTheme="minorHAnsi"/>
          <w:bCs w:val="0"/>
          <w:caps/>
          <w:kern w:val="0"/>
          <w:sz w:val="24"/>
          <w:szCs w:val="24"/>
          <w:lang w:val="pt-BR"/>
        </w:rPr>
        <w:t>- DISPOSIÇÕES GERAIS</w:t>
      </w:r>
      <w:bookmarkEnd w:id="45"/>
    </w:p>
    <w:p w:rsidR="001E00D2" w:rsidRPr="00DE3690" w:rsidRDefault="003A5F75" w:rsidP="003A5F75">
      <w:pPr>
        <w:pStyle w:val="Default"/>
        <w:jc w:val="both"/>
        <w:rPr>
          <w:rFonts w:asciiTheme="minorHAnsi" w:hAnsiTheme="minorHAnsi"/>
          <w:color w:val="auto"/>
        </w:rPr>
      </w:pPr>
      <w:r w:rsidRPr="00DE3690">
        <w:rPr>
          <w:rFonts w:asciiTheme="minorHAnsi" w:hAnsiTheme="minorHAnsi"/>
          <w:color w:val="auto"/>
        </w:rPr>
        <w:t xml:space="preserve">A presente Política de Investimentos foi elaborada e planejada para orientar as aplicações de investimentos para o exercício de </w:t>
      </w:r>
      <w:r w:rsidR="00001D53" w:rsidRPr="00DE3690">
        <w:rPr>
          <w:rFonts w:asciiTheme="minorHAnsi" w:hAnsiTheme="minorHAnsi"/>
          <w:color w:val="auto"/>
        </w:rPr>
        <w:t>2019</w:t>
      </w:r>
      <w:r w:rsidRPr="00DE3690">
        <w:rPr>
          <w:rFonts w:asciiTheme="minorHAnsi" w:hAnsiTheme="minorHAnsi"/>
          <w:color w:val="auto"/>
        </w:rPr>
        <w:t xml:space="preserve">, consideradas as projeções macro e microeconômicas no intervalo de 12 (doze) meses. As revisões extraordinárias, quando houver necessidade de ajustes perante o comportamento/conjuntura do mercado e/ou alteração da legislação, deverão ser justificadas, aprovadas e publicadas. </w:t>
      </w:r>
    </w:p>
    <w:p w:rsidR="001E00D2" w:rsidRPr="00DE3690" w:rsidRDefault="001E00D2" w:rsidP="003A5F75">
      <w:pPr>
        <w:pStyle w:val="Default"/>
        <w:jc w:val="both"/>
        <w:rPr>
          <w:rFonts w:asciiTheme="minorHAnsi" w:hAnsiTheme="minorHAnsi"/>
          <w:color w:val="auto"/>
        </w:rPr>
      </w:pPr>
    </w:p>
    <w:p w:rsidR="00E3776F" w:rsidRPr="00DE3690" w:rsidRDefault="003A5F75" w:rsidP="003A5F75">
      <w:pPr>
        <w:pStyle w:val="Default"/>
        <w:jc w:val="both"/>
        <w:rPr>
          <w:rFonts w:asciiTheme="minorHAnsi" w:hAnsiTheme="minorHAnsi"/>
          <w:color w:val="auto"/>
        </w:rPr>
      </w:pPr>
      <w:r w:rsidRPr="00DE3690">
        <w:rPr>
          <w:rFonts w:asciiTheme="minorHAnsi" w:hAnsiTheme="minorHAnsi"/>
          <w:color w:val="auto"/>
        </w:rPr>
        <w:t xml:space="preserve">As estratégias macro, definidas nesta política deverão ser integralmente seguidas pela diretoria, que seguindo critérios técnicos estabelecerá as diretrizes de alocação específicas, de curto e médio prazo, para a obtenção da meta atuarial. </w:t>
      </w:r>
    </w:p>
    <w:p w:rsidR="002F6FD5" w:rsidRPr="00DE3690" w:rsidRDefault="002F6FD5" w:rsidP="003A5F75">
      <w:pPr>
        <w:pStyle w:val="Default"/>
        <w:jc w:val="both"/>
        <w:rPr>
          <w:rFonts w:asciiTheme="minorHAnsi" w:hAnsiTheme="minorHAnsi"/>
          <w:color w:val="auto"/>
        </w:rPr>
      </w:pPr>
    </w:p>
    <w:p w:rsidR="001E00D2" w:rsidRPr="00DE3690" w:rsidRDefault="003A5F75" w:rsidP="003A5F75">
      <w:pPr>
        <w:pStyle w:val="Default"/>
        <w:jc w:val="both"/>
        <w:rPr>
          <w:rFonts w:asciiTheme="minorHAnsi" w:hAnsiTheme="minorHAnsi"/>
          <w:color w:val="auto"/>
        </w:rPr>
      </w:pPr>
      <w:r w:rsidRPr="00DE3690">
        <w:rPr>
          <w:rFonts w:asciiTheme="minorHAnsi" w:hAnsiTheme="minorHAnsi"/>
          <w:color w:val="auto"/>
        </w:rPr>
        <w:t xml:space="preserve">Serão levadas ao </w:t>
      </w:r>
      <w:r w:rsidRPr="00DE3690">
        <w:rPr>
          <w:rFonts w:asciiTheme="minorHAnsi" w:hAnsiTheme="minorHAnsi"/>
          <w:b/>
          <w:color w:val="auto"/>
        </w:rPr>
        <w:t>Conselho</w:t>
      </w:r>
      <w:r w:rsidR="002D76E8">
        <w:rPr>
          <w:rFonts w:asciiTheme="minorHAnsi" w:hAnsiTheme="minorHAnsi"/>
          <w:b/>
          <w:color w:val="auto"/>
        </w:rPr>
        <w:t xml:space="preserve"> Administrativo</w:t>
      </w:r>
      <w:r w:rsidR="00C56171">
        <w:rPr>
          <w:rFonts w:asciiTheme="minorHAnsi" w:hAnsiTheme="minorHAnsi"/>
          <w:b/>
          <w:color w:val="auto"/>
        </w:rPr>
        <w:t>, C</w:t>
      </w:r>
      <w:r w:rsidR="00B17B28">
        <w:rPr>
          <w:rFonts w:asciiTheme="minorHAnsi" w:hAnsiTheme="minorHAnsi"/>
          <w:b/>
          <w:color w:val="auto"/>
        </w:rPr>
        <w:t xml:space="preserve">onselho </w:t>
      </w:r>
      <w:r w:rsidR="00C56171">
        <w:rPr>
          <w:rFonts w:asciiTheme="minorHAnsi" w:hAnsiTheme="minorHAnsi"/>
          <w:b/>
          <w:color w:val="auto"/>
        </w:rPr>
        <w:t>F</w:t>
      </w:r>
      <w:r w:rsidR="00B17B28">
        <w:rPr>
          <w:rFonts w:asciiTheme="minorHAnsi" w:hAnsiTheme="minorHAnsi"/>
          <w:b/>
          <w:color w:val="auto"/>
        </w:rPr>
        <w:t>iscal</w:t>
      </w:r>
      <w:r w:rsidRPr="00DE3690">
        <w:rPr>
          <w:rFonts w:asciiTheme="minorHAnsi" w:hAnsiTheme="minorHAnsi"/>
          <w:color w:val="auto"/>
        </w:rPr>
        <w:t xml:space="preserve"> e ao </w:t>
      </w:r>
      <w:r w:rsidRPr="00DE3690">
        <w:rPr>
          <w:rFonts w:asciiTheme="minorHAnsi" w:hAnsiTheme="minorHAnsi"/>
          <w:b/>
          <w:color w:val="auto"/>
        </w:rPr>
        <w:t>Comitê de Investimentos</w:t>
      </w:r>
      <w:r w:rsidRPr="00DE3690">
        <w:rPr>
          <w:rFonts w:asciiTheme="minorHAnsi" w:hAnsiTheme="minorHAnsi"/>
          <w:color w:val="auto"/>
        </w:rPr>
        <w:t xml:space="preserve">, para avaliação, as aplicações não claramente definidas neste documento, mas que tiverem sido formuladas em conformidade com as diretrizes de investimentos e a legislação aplicável. </w:t>
      </w:r>
    </w:p>
    <w:p w:rsidR="001E00D2" w:rsidRPr="00DE3690" w:rsidRDefault="001E00D2" w:rsidP="003A5F75">
      <w:pPr>
        <w:pStyle w:val="Default"/>
        <w:jc w:val="both"/>
        <w:rPr>
          <w:rFonts w:asciiTheme="minorHAnsi" w:hAnsiTheme="minorHAnsi"/>
          <w:color w:val="auto"/>
        </w:rPr>
      </w:pPr>
    </w:p>
    <w:p w:rsidR="00155D21" w:rsidRDefault="00155D21" w:rsidP="003A5F75">
      <w:pPr>
        <w:pStyle w:val="Default"/>
        <w:jc w:val="both"/>
        <w:rPr>
          <w:rFonts w:asciiTheme="minorHAnsi" w:hAnsiTheme="minorHAnsi"/>
          <w:color w:val="auto"/>
        </w:rPr>
      </w:pPr>
    </w:p>
    <w:p w:rsidR="00155D21" w:rsidRDefault="00155D21" w:rsidP="003A5F75">
      <w:pPr>
        <w:pStyle w:val="Default"/>
        <w:jc w:val="both"/>
        <w:rPr>
          <w:rFonts w:asciiTheme="minorHAnsi" w:hAnsiTheme="minorHAnsi"/>
          <w:color w:val="auto"/>
        </w:rPr>
      </w:pPr>
    </w:p>
    <w:p w:rsidR="00155D21" w:rsidRDefault="00155D21" w:rsidP="003A5F75">
      <w:pPr>
        <w:pStyle w:val="Default"/>
        <w:jc w:val="both"/>
        <w:rPr>
          <w:rFonts w:asciiTheme="minorHAnsi" w:hAnsiTheme="minorHAnsi"/>
          <w:color w:val="auto"/>
        </w:rPr>
      </w:pPr>
    </w:p>
    <w:p w:rsidR="00155D21" w:rsidRDefault="00155D21" w:rsidP="003A5F75">
      <w:pPr>
        <w:pStyle w:val="Default"/>
        <w:jc w:val="both"/>
        <w:rPr>
          <w:rFonts w:asciiTheme="minorHAnsi" w:hAnsiTheme="minorHAnsi"/>
          <w:color w:val="auto"/>
        </w:rPr>
      </w:pPr>
    </w:p>
    <w:p w:rsidR="003A5F75" w:rsidRPr="00DE3690" w:rsidRDefault="003A5F75" w:rsidP="003A5F75">
      <w:pPr>
        <w:pStyle w:val="Default"/>
        <w:jc w:val="both"/>
        <w:rPr>
          <w:rFonts w:asciiTheme="minorHAnsi" w:hAnsiTheme="minorHAnsi"/>
          <w:color w:val="auto"/>
        </w:rPr>
      </w:pPr>
      <w:r w:rsidRPr="00DE3690">
        <w:rPr>
          <w:rFonts w:asciiTheme="minorHAnsi" w:hAnsiTheme="minorHAnsi"/>
          <w:color w:val="auto"/>
        </w:rPr>
        <w:t xml:space="preserve">A Política de Investimentos do </w:t>
      </w:r>
      <w:r w:rsidR="00646827" w:rsidRPr="00DE3690">
        <w:rPr>
          <w:rFonts w:asciiTheme="minorHAnsi" w:hAnsiTheme="minorHAnsi"/>
          <w:b/>
          <w:color w:val="auto"/>
        </w:rPr>
        <w:t>IPESMUC</w:t>
      </w:r>
      <w:r w:rsidRPr="00DE3690">
        <w:rPr>
          <w:rFonts w:asciiTheme="minorHAnsi" w:hAnsiTheme="minorHAnsi"/>
          <w:color w:val="auto"/>
        </w:rPr>
        <w:t xml:space="preserve"> foi aprovada na Reunião Ordinária do Conselho</w:t>
      </w:r>
      <w:r w:rsidR="002D76E8">
        <w:rPr>
          <w:rFonts w:asciiTheme="minorHAnsi" w:hAnsiTheme="minorHAnsi"/>
          <w:color w:val="auto"/>
        </w:rPr>
        <w:t xml:space="preserve"> Administrativo, Conselho Fiscal e</w:t>
      </w:r>
      <w:r w:rsidRPr="00DE3690">
        <w:rPr>
          <w:rFonts w:asciiTheme="minorHAnsi" w:hAnsiTheme="minorHAnsi"/>
          <w:color w:val="auto"/>
        </w:rPr>
        <w:t xml:space="preserve"> </w:t>
      </w:r>
      <w:r w:rsidR="00C2503E" w:rsidRPr="00DE3690">
        <w:rPr>
          <w:rFonts w:asciiTheme="minorHAnsi" w:hAnsiTheme="minorHAnsi"/>
          <w:color w:val="auto"/>
        </w:rPr>
        <w:t xml:space="preserve">do Comitê de Investimentos </w:t>
      </w:r>
      <w:r w:rsidRPr="00DE3690">
        <w:rPr>
          <w:rFonts w:asciiTheme="minorHAnsi" w:hAnsiTheme="minorHAnsi"/>
          <w:color w:val="auto"/>
        </w:rPr>
        <w:t xml:space="preserve">realizada </w:t>
      </w:r>
      <w:r w:rsidR="00D658D7" w:rsidRPr="00DE3690">
        <w:rPr>
          <w:rFonts w:asciiTheme="minorHAnsi" w:hAnsiTheme="minorHAnsi"/>
          <w:color w:val="auto"/>
        </w:rPr>
        <w:t xml:space="preserve">em </w:t>
      </w:r>
      <w:r w:rsidR="00001D53" w:rsidRPr="00DE3690">
        <w:rPr>
          <w:rFonts w:asciiTheme="minorHAnsi" w:hAnsiTheme="minorHAnsi"/>
          <w:b/>
          <w:color w:val="auto"/>
        </w:rPr>
        <w:t>22 de outubro de 2018</w:t>
      </w:r>
      <w:r w:rsidR="00D658D7" w:rsidRPr="00DE3690">
        <w:rPr>
          <w:rFonts w:asciiTheme="minorHAnsi" w:hAnsiTheme="minorHAnsi"/>
          <w:color w:val="auto"/>
        </w:rPr>
        <w:t>,</w:t>
      </w:r>
      <w:r w:rsidRPr="00DE3690">
        <w:rPr>
          <w:rFonts w:asciiTheme="minorHAnsi" w:hAnsiTheme="minorHAnsi"/>
          <w:color w:val="auto"/>
        </w:rPr>
        <w:t xml:space="preserve"> disciplinada p</w:t>
      </w:r>
      <w:r w:rsidR="00391912" w:rsidRPr="00DE3690">
        <w:rPr>
          <w:rFonts w:asciiTheme="minorHAnsi" w:hAnsiTheme="minorHAnsi"/>
          <w:color w:val="auto"/>
        </w:rPr>
        <w:t>el</w:t>
      </w:r>
      <w:r w:rsidR="008F0DC2" w:rsidRPr="00DE3690">
        <w:rPr>
          <w:rFonts w:asciiTheme="minorHAnsi" w:hAnsiTheme="minorHAnsi"/>
          <w:color w:val="auto"/>
        </w:rPr>
        <w:t xml:space="preserve">a Resolução CMN n° 3.922/2010, </w:t>
      </w:r>
      <w:r w:rsidR="00391912" w:rsidRPr="00DE3690">
        <w:rPr>
          <w:rFonts w:asciiTheme="minorHAnsi" w:hAnsiTheme="minorHAnsi"/>
          <w:color w:val="auto"/>
        </w:rPr>
        <w:t>4.392/2014</w:t>
      </w:r>
      <w:r w:rsidR="008F0DC2" w:rsidRPr="00DE3690">
        <w:rPr>
          <w:rFonts w:asciiTheme="minorHAnsi" w:hAnsiTheme="minorHAnsi"/>
          <w:color w:val="auto"/>
        </w:rPr>
        <w:t xml:space="preserve"> e 4.604/2017</w:t>
      </w:r>
      <w:r w:rsidR="00391912" w:rsidRPr="00DE3690">
        <w:rPr>
          <w:rFonts w:asciiTheme="minorHAnsi" w:hAnsiTheme="minorHAnsi"/>
          <w:color w:val="auto"/>
        </w:rPr>
        <w:t>.</w:t>
      </w:r>
    </w:p>
    <w:p w:rsidR="002F6FD5" w:rsidRPr="00DE3690" w:rsidRDefault="002F6FD5" w:rsidP="002F6FD5">
      <w:pPr>
        <w:spacing w:after="0" w:line="240" w:lineRule="auto"/>
        <w:jc w:val="both"/>
        <w:rPr>
          <w:rFonts w:ascii="Calibri" w:hAnsi="Calibri" w:cs="Calibri"/>
          <w:highlight w:val="yellow"/>
        </w:rPr>
      </w:pPr>
    </w:p>
    <w:p w:rsidR="002F6FD5" w:rsidRPr="00DE3690" w:rsidRDefault="002F6FD5" w:rsidP="002F6FD5">
      <w:pPr>
        <w:spacing w:after="0" w:line="240" w:lineRule="auto"/>
        <w:jc w:val="both"/>
        <w:rPr>
          <w:rFonts w:ascii="Calibri" w:hAnsi="Calibri" w:cs="Calibri"/>
        </w:rPr>
      </w:pPr>
      <w:r w:rsidRPr="00C56171">
        <w:rPr>
          <w:rFonts w:ascii="Calibri" w:hAnsi="Calibri" w:cs="Calibri"/>
        </w:rPr>
        <w:t>O gestor responsável pela aplicação dos recursos do I</w:t>
      </w:r>
      <w:r w:rsidR="002D76E8">
        <w:rPr>
          <w:rFonts w:ascii="Calibri" w:hAnsi="Calibri" w:cs="Calibri"/>
        </w:rPr>
        <w:t>PESMUC</w:t>
      </w:r>
      <w:r w:rsidRPr="00C56171">
        <w:rPr>
          <w:rFonts w:ascii="Calibri" w:hAnsi="Calibri" w:cs="Calibri"/>
        </w:rPr>
        <w:t xml:space="preserve"> é o senhor</w:t>
      </w:r>
      <w:r w:rsidR="00387288" w:rsidRPr="00C56171">
        <w:rPr>
          <w:rFonts w:ascii="Calibri" w:hAnsi="Calibri" w:cs="Calibri"/>
        </w:rPr>
        <w:t xml:space="preserve"> Carlos Roberto </w:t>
      </w:r>
      <w:proofErr w:type="spellStart"/>
      <w:r w:rsidR="00387288" w:rsidRPr="00C56171">
        <w:rPr>
          <w:rFonts w:ascii="Calibri" w:hAnsi="Calibri" w:cs="Calibri"/>
        </w:rPr>
        <w:t>Vezaro</w:t>
      </w:r>
      <w:proofErr w:type="spellEnd"/>
      <w:r w:rsidR="00387288" w:rsidRPr="00C56171">
        <w:rPr>
          <w:rFonts w:ascii="Calibri" w:hAnsi="Calibri" w:cs="Calibri"/>
        </w:rPr>
        <w:t xml:space="preserve"> </w:t>
      </w:r>
      <w:r w:rsidRPr="00C56171">
        <w:rPr>
          <w:rFonts w:ascii="Calibri" w:hAnsi="Calibri" w:cs="Calibri"/>
        </w:rPr>
        <w:t xml:space="preserve">CPF nº </w:t>
      </w:r>
      <w:r w:rsidR="00C56171" w:rsidRPr="00C56171">
        <w:rPr>
          <w:rFonts w:ascii="Calibri" w:hAnsi="Calibri" w:cs="Calibri"/>
        </w:rPr>
        <w:t>310.203.649-04</w:t>
      </w:r>
      <w:r w:rsidRPr="00C56171">
        <w:rPr>
          <w:rFonts w:ascii="Calibri" w:hAnsi="Calibri" w:cs="Calibri"/>
        </w:rPr>
        <w:t xml:space="preserve">, servidor público efetivo, ocupante do cargo de </w:t>
      </w:r>
      <w:r w:rsidR="00C56171">
        <w:rPr>
          <w:rFonts w:ascii="Calibri" w:hAnsi="Calibri" w:cs="Calibri"/>
        </w:rPr>
        <w:t xml:space="preserve">Tesoureiro </w:t>
      </w:r>
      <w:r w:rsidRPr="00C56171">
        <w:rPr>
          <w:rFonts w:ascii="Calibri" w:hAnsi="Calibri" w:cs="Calibri"/>
        </w:rPr>
        <w:t xml:space="preserve">do </w:t>
      </w:r>
      <w:proofErr w:type="gramStart"/>
      <w:r w:rsidRPr="00C56171">
        <w:rPr>
          <w:rFonts w:ascii="Calibri" w:hAnsi="Calibri" w:cs="Calibri"/>
        </w:rPr>
        <w:t>IPESMUC,  com</w:t>
      </w:r>
      <w:proofErr w:type="gramEnd"/>
      <w:r w:rsidRPr="00C56171">
        <w:rPr>
          <w:rFonts w:ascii="Calibri" w:hAnsi="Calibri" w:cs="Calibri"/>
        </w:rPr>
        <w:t xml:space="preserve"> certificação pela APIMEC com validade até </w:t>
      </w:r>
      <w:r w:rsidR="00B17B28" w:rsidRPr="00C56171">
        <w:rPr>
          <w:rFonts w:ascii="Calibri" w:hAnsi="Calibri" w:cs="Calibri"/>
        </w:rPr>
        <w:t>10/08/2021</w:t>
      </w:r>
      <w:r w:rsidR="00C56171">
        <w:rPr>
          <w:rFonts w:ascii="Calibri" w:hAnsi="Calibri" w:cs="Calibri"/>
        </w:rPr>
        <w:t>.</w:t>
      </w:r>
    </w:p>
    <w:p w:rsidR="00843F89" w:rsidRPr="00DE3690" w:rsidRDefault="00843F89" w:rsidP="002F6FD5">
      <w:pPr>
        <w:pStyle w:val="Default"/>
        <w:jc w:val="both"/>
        <w:rPr>
          <w:rFonts w:asciiTheme="minorHAnsi" w:hAnsiTheme="minorHAnsi"/>
          <w:color w:val="auto"/>
        </w:rPr>
      </w:pPr>
    </w:p>
    <w:p w:rsidR="004C5C54" w:rsidRPr="00DE3690" w:rsidRDefault="00646827" w:rsidP="002F6FD5">
      <w:pPr>
        <w:pStyle w:val="Default"/>
        <w:jc w:val="both"/>
        <w:rPr>
          <w:rFonts w:asciiTheme="minorHAnsi" w:hAnsiTheme="minorHAnsi"/>
          <w:color w:val="auto"/>
        </w:rPr>
      </w:pPr>
      <w:r w:rsidRPr="00DE3690">
        <w:rPr>
          <w:rFonts w:asciiTheme="minorHAnsi" w:hAnsiTheme="minorHAnsi"/>
          <w:color w:val="auto"/>
        </w:rPr>
        <w:t>Curitibanos/</w:t>
      </w:r>
      <w:r w:rsidR="00001D53" w:rsidRPr="00DE3690">
        <w:rPr>
          <w:rFonts w:asciiTheme="minorHAnsi" w:hAnsiTheme="minorHAnsi"/>
          <w:color w:val="auto"/>
        </w:rPr>
        <w:t>SC</w:t>
      </w:r>
      <w:r w:rsidR="006C2D7B" w:rsidRPr="00DE3690">
        <w:rPr>
          <w:rFonts w:asciiTheme="minorHAnsi" w:hAnsiTheme="minorHAnsi"/>
          <w:color w:val="auto"/>
        </w:rPr>
        <w:t>,</w:t>
      </w:r>
      <w:r w:rsidRPr="00DE3690">
        <w:rPr>
          <w:rFonts w:asciiTheme="minorHAnsi" w:hAnsiTheme="minorHAnsi"/>
          <w:color w:val="auto"/>
        </w:rPr>
        <w:t xml:space="preserve"> </w:t>
      </w:r>
      <w:r w:rsidR="00001D53" w:rsidRPr="00DE3690">
        <w:rPr>
          <w:rFonts w:asciiTheme="minorHAnsi" w:hAnsiTheme="minorHAnsi"/>
          <w:color w:val="auto"/>
        </w:rPr>
        <w:t>22 de outubro de 2018</w:t>
      </w:r>
      <w:r w:rsidR="006C2D7B" w:rsidRPr="00DE3690">
        <w:rPr>
          <w:rFonts w:asciiTheme="minorHAnsi" w:hAnsiTheme="minorHAnsi"/>
          <w:color w:val="auto"/>
        </w:rPr>
        <w:t>.</w:t>
      </w:r>
    </w:p>
    <w:p w:rsidR="004C5C54" w:rsidRPr="00DE3690" w:rsidRDefault="004C5C54" w:rsidP="002F6FD5">
      <w:pPr>
        <w:pStyle w:val="Default"/>
        <w:jc w:val="both"/>
        <w:rPr>
          <w:rFonts w:asciiTheme="minorHAnsi" w:hAnsiTheme="minorHAnsi"/>
          <w:color w:val="auto"/>
        </w:rPr>
      </w:pPr>
    </w:p>
    <w:p w:rsidR="004C5C54" w:rsidRPr="00DE3690" w:rsidRDefault="004C5C54" w:rsidP="002F6FD5">
      <w:pPr>
        <w:pStyle w:val="Default"/>
        <w:jc w:val="both"/>
        <w:rPr>
          <w:rFonts w:asciiTheme="minorHAnsi" w:hAnsiTheme="minorHAnsi"/>
          <w:color w:val="auto"/>
        </w:rPr>
      </w:pPr>
      <w:r w:rsidRPr="00DE3690">
        <w:rPr>
          <w:rFonts w:asciiTheme="minorHAnsi" w:hAnsiTheme="minorHAnsi"/>
          <w:color w:val="auto"/>
        </w:rPr>
        <w:t>Conselho Administrativo</w:t>
      </w:r>
    </w:p>
    <w:p w:rsidR="001E00D2" w:rsidRDefault="001E00D2" w:rsidP="002F6FD5">
      <w:pPr>
        <w:pStyle w:val="Default"/>
        <w:jc w:val="both"/>
        <w:rPr>
          <w:rFonts w:asciiTheme="minorHAnsi" w:hAnsiTheme="minorHAnsi"/>
          <w:color w:val="auto"/>
        </w:rPr>
      </w:pPr>
    </w:p>
    <w:p w:rsidR="002D76E8" w:rsidRDefault="002D76E8" w:rsidP="002F6FD5">
      <w:pPr>
        <w:pStyle w:val="Default"/>
        <w:jc w:val="both"/>
        <w:rPr>
          <w:rFonts w:asciiTheme="minorHAnsi" w:hAnsiTheme="minorHAnsi"/>
          <w:color w:val="auto"/>
        </w:rPr>
      </w:pPr>
    </w:p>
    <w:p w:rsidR="002D76E8" w:rsidRPr="00DE3690" w:rsidRDefault="002D76E8" w:rsidP="002F6FD5">
      <w:pPr>
        <w:pStyle w:val="Default"/>
        <w:jc w:val="both"/>
        <w:rPr>
          <w:rFonts w:asciiTheme="minorHAnsi" w:hAnsiTheme="minorHAnsi"/>
          <w:color w:val="auto"/>
        </w:rPr>
      </w:pPr>
    </w:p>
    <w:p w:rsidR="001E00D2" w:rsidRPr="00DE3690" w:rsidRDefault="001E00D2" w:rsidP="002F6FD5">
      <w:pPr>
        <w:pStyle w:val="Default"/>
        <w:jc w:val="both"/>
        <w:rPr>
          <w:rFonts w:asciiTheme="minorHAnsi" w:hAnsiTheme="minorHAnsi"/>
          <w:color w:val="auto"/>
        </w:rPr>
      </w:pPr>
    </w:p>
    <w:p w:rsidR="004C5C54" w:rsidRPr="00DE3690" w:rsidRDefault="004C5C54" w:rsidP="002F6FD5">
      <w:pPr>
        <w:pStyle w:val="Default"/>
        <w:jc w:val="both"/>
        <w:rPr>
          <w:rFonts w:asciiTheme="minorHAnsi" w:hAnsiTheme="minorHAnsi"/>
          <w:color w:val="auto"/>
        </w:rPr>
      </w:pPr>
      <w:r w:rsidRPr="00DE3690">
        <w:rPr>
          <w:rFonts w:asciiTheme="minorHAnsi" w:hAnsiTheme="minorHAnsi"/>
          <w:color w:val="auto"/>
        </w:rPr>
        <w:t>Conselho Fiscal</w:t>
      </w:r>
    </w:p>
    <w:p w:rsidR="001E00D2" w:rsidRDefault="001E00D2" w:rsidP="002F6FD5">
      <w:pPr>
        <w:pStyle w:val="Default"/>
        <w:jc w:val="both"/>
        <w:rPr>
          <w:rFonts w:asciiTheme="minorHAnsi" w:hAnsiTheme="minorHAnsi"/>
          <w:color w:val="auto"/>
        </w:rPr>
      </w:pPr>
    </w:p>
    <w:p w:rsidR="002D76E8" w:rsidRDefault="002D76E8" w:rsidP="002F6FD5">
      <w:pPr>
        <w:pStyle w:val="Default"/>
        <w:jc w:val="both"/>
        <w:rPr>
          <w:rFonts w:asciiTheme="minorHAnsi" w:hAnsiTheme="minorHAnsi"/>
          <w:color w:val="auto"/>
        </w:rPr>
      </w:pPr>
    </w:p>
    <w:p w:rsidR="002D76E8" w:rsidRDefault="002D76E8" w:rsidP="002F6FD5">
      <w:pPr>
        <w:pStyle w:val="Default"/>
        <w:jc w:val="both"/>
        <w:rPr>
          <w:rFonts w:asciiTheme="minorHAnsi" w:hAnsiTheme="minorHAnsi"/>
          <w:color w:val="auto"/>
        </w:rPr>
      </w:pPr>
    </w:p>
    <w:p w:rsidR="002D76E8" w:rsidRDefault="002D76E8" w:rsidP="002F6FD5">
      <w:pPr>
        <w:pStyle w:val="Default"/>
        <w:jc w:val="both"/>
        <w:rPr>
          <w:rFonts w:asciiTheme="minorHAnsi" w:hAnsiTheme="minorHAnsi"/>
          <w:color w:val="auto"/>
        </w:rPr>
      </w:pPr>
    </w:p>
    <w:p w:rsidR="002D76E8" w:rsidRPr="00DE3690" w:rsidRDefault="002D76E8" w:rsidP="002D76E8">
      <w:pPr>
        <w:pStyle w:val="Default"/>
        <w:jc w:val="both"/>
        <w:rPr>
          <w:rFonts w:asciiTheme="minorHAnsi" w:hAnsiTheme="minorHAnsi"/>
          <w:color w:val="auto"/>
        </w:rPr>
      </w:pPr>
      <w:r w:rsidRPr="00DE3690">
        <w:rPr>
          <w:rFonts w:asciiTheme="minorHAnsi" w:hAnsiTheme="minorHAnsi"/>
          <w:color w:val="auto"/>
        </w:rPr>
        <w:t>Comitê de Investimentos</w:t>
      </w:r>
    </w:p>
    <w:p w:rsidR="002D76E8" w:rsidRPr="00DE3690" w:rsidRDefault="002D76E8" w:rsidP="002F6FD5">
      <w:pPr>
        <w:pStyle w:val="Default"/>
        <w:jc w:val="both"/>
        <w:rPr>
          <w:rFonts w:asciiTheme="minorHAnsi" w:hAnsiTheme="minorHAnsi"/>
          <w:color w:val="auto"/>
        </w:rPr>
      </w:pPr>
    </w:p>
    <w:p w:rsidR="00A3474B" w:rsidRPr="00DE3690" w:rsidRDefault="00A3474B" w:rsidP="002F6FD5">
      <w:pPr>
        <w:pStyle w:val="Default"/>
        <w:jc w:val="both"/>
        <w:rPr>
          <w:rFonts w:asciiTheme="minorHAnsi" w:hAnsiTheme="minorHAnsi"/>
          <w:color w:val="auto"/>
        </w:rPr>
      </w:pPr>
      <w:r w:rsidRPr="00DE3690">
        <w:rPr>
          <w:rFonts w:asciiTheme="minorHAnsi" w:hAnsiTheme="minorHAnsi"/>
          <w:color w:val="auto"/>
        </w:rPr>
        <w:br w:type="page"/>
      </w:r>
    </w:p>
    <w:p w:rsidR="00155D21" w:rsidRDefault="00155D21" w:rsidP="004C5C54">
      <w:pPr>
        <w:pStyle w:val="Default"/>
        <w:jc w:val="both"/>
        <w:rPr>
          <w:rStyle w:val="RefernciaIntensa"/>
          <w:rFonts w:asciiTheme="minorHAnsi" w:hAnsiTheme="minorHAnsi"/>
          <w:color w:val="auto"/>
        </w:rPr>
      </w:pPr>
    </w:p>
    <w:p w:rsidR="00155D21" w:rsidRDefault="00155D21" w:rsidP="004C5C54">
      <w:pPr>
        <w:pStyle w:val="Default"/>
        <w:jc w:val="both"/>
        <w:rPr>
          <w:rStyle w:val="RefernciaIntensa"/>
          <w:rFonts w:asciiTheme="minorHAnsi" w:hAnsiTheme="minorHAnsi"/>
          <w:color w:val="auto"/>
        </w:rPr>
      </w:pPr>
    </w:p>
    <w:p w:rsidR="00155D21" w:rsidRDefault="00155D21" w:rsidP="004C5C54">
      <w:pPr>
        <w:pStyle w:val="Default"/>
        <w:jc w:val="both"/>
        <w:rPr>
          <w:rStyle w:val="RefernciaIntensa"/>
          <w:rFonts w:asciiTheme="minorHAnsi" w:hAnsiTheme="minorHAnsi"/>
          <w:color w:val="auto"/>
        </w:rPr>
      </w:pPr>
    </w:p>
    <w:p w:rsidR="00155D21" w:rsidRDefault="00155D21" w:rsidP="004C5C54">
      <w:pPr>
        <w:pStyle w:val="Default"/>
        <w:jc w:val="both"/>
        <w:rPr>
          <w:rStyle w:val="RefernciaIntensa"/>
          <w:rFonts w:asciiTheme="minorHAnsi" w:hAnsiTheme="minorHAnsi"/>
          <w:color w:val="auto"/>
        </w:rPr>
      </w:pPr>
    </w:p>
    <w:p w:rsidR="008E4B23" w:rsidRPr="00DE3690" w:rsidRDefault="005B7FB2" w:rsidP="004C5C54">
      <w:pPr>
        <w:pStyle w:val="Default"/>
        <w:jc w:val="both"/>
        <w:rPr>
          <w:rStyle w:val="RefernciaIntensa"/>
          <w:rFonts w:asciiTheme="minorHAnsi" w:hAnsiTheme="minorHAnsi"/>
          <w:color w:val="auto"/>
        </w:rPr>
      </w:pPr>
      <w:r w:rsidRPr="00DE3690">
        <w:rPr>
          <w:rStyle w:val="RefernciaIntensa"/>
          <w:rFonts w:asciiTheme="minorHAnsi" w:hAnsiTheme="minorHAnsi"/>
          <w:color w:val="auto"/>
        </w:rPr>
        <w:t>ANEXO A – LIMITES LEGAIS DE ALOCAÇÃO</w:t>
      </w:r>
    </w:p>
    <w:p w:rsidR="005B7FB2" w:rsidRPr="00DE3690" w:rsidRDefault="005B7FB2" w:rsidP="005B7FB2">
      <w:pPr>
        <w:pStyle w:val="Default"/>
        <w:jc w:val="both"/>
        <w:rPr>
          <w:rFonts w:asciiTheme="minorHAnsi" w:hAnsiTheme="minorHAnsi"/>
          <w:color w:val="auto"/>
        </w:rPr>
      </w:pPr>
      <w:r w:rsidRPr="00DE3690">
        <w:rPr>
          <w:rFonts w:asciiTheme="minorHAnsi" w:hAnsiTheme="minorHAnsi"/>
          <w:color w:val="auto"/>
        </w:rPr>
        <w:t>A Resolução CMN 3.922/2010, 4.392/2014 e 4.604/2017, estabelece que os recursos em moeda corrente possam ser alocados, exclusivamente, nos segmentos de Renda Fixa</w:t>
      </w:r>
      <w:r w:rsidR="00FB7DE7" w:rsidRPr="00DE3690">
        <w:rPr>
          <w:rFonts w:asciiTheme="minorHAnsi" w:hAnsiTheme="minorHAnsi"/>
          <w:color w:val="auto"/>
        </w:rPr>
        <w:t xml:space="preserve"> e</w:t>
      </w:r>
      <w:r w:rsidRPr="00DE3690">
        <w:rPr>
          <w:rFonts w:asciiTheme="minorHAnsi" w:hAnsiTheme="minorHAnsi"/>
          <w:color w:val="auto"/>
        </w:rPr>
        <w:t xml:space="preserve"> Renda Variávelobedecendo aos seguintes limites:</w:t>
      </w:r>
    </w:p>
    <w:p w:rsidR="003C11F9" w:rsidRDefault="003C11F9" w:rsidP="005B7FB2">
      <w:pPr>
        <w:pStyle w:val="Default"/>
        <w:jc w:val="both"/>
        <w:rPr>
          <w:rFonts w:asciiTheme="minorHAnsi" w:hAnsiTheme="minorHAnsi"/>
          <w:color w:val="auto"/>
        </w:rPr>
      </w:pPr>
    </w:p>
    <w:p w:rsidR="00155D21" w:rsidRDefault="00155D21" w:rsidP="005B7FB2">
      <w:pPr>
        <w:pStyle w:val="Default"/>
        <w:jc w:val="both"/>
      </w:pPr>
    </w:p>
    <w:p w:rsidR="00155D21" w:rsidRDefault="00155D21" w:rsidP="005B7FB2">
      <w:pPr>
        <w:pStyle w:val="Default"/>
        <w:jc w:val="both"/>
      </w:pPr>
    </w:p>
    <w:p w:rsidR="00155D21" w:rsidRPr="00DE3690" w:rsidRDefault="00155D21" w:rsidP="005B7FB2">
      <w:pPr>
        <w:pStyle w:val="Default"/>
        <w:jc w:val="both"/>
        <w:rPr>
          <w:rFonts w:asciiTheme="minorHAnsi" w:hAnsiTheme="minorHAnsi"/>
          <w:color w:val="auto"/>
        </w:rPr>
      </w:pPr>
    </w:p>
    <w:tbl>
      <w:tblPr>
        <w:tblW w:w="5000" w:type="pct"/>
        <w:tblCellMar>
          <w:left w:w="70" w:type="dxa"/>
          <w:right w:w="70" w:type="dxa"/>
        </w:tblCellMar>
        <w:tblLook w:val="04A0" w:firstRow="1" w:lastRow="0" w:firstColumn="1" w:lastColumn="0" w:noHBand="0" w:noVBand="1"/>
      </w:tblPr>
      <w:tblGrid>
        <w:gridCol w:w="1151"/>
        <w:gridCol w:w="6749"/>
        <w:gridCol w:w="1109"/>
        <w:gridCol w:w="1052"/>
      </w:tblGrid>
      <w:tr w:rsidR="003C11F9" w:rsidRPr="00DE3690" w:rsidTr="00155D21">
        <w:trPr>
          <w:trHeight w:val="315"/>
        </w:trPr>
        <w:tc>
          <w:tcPr>
            <w:tcW w:w="572" w:type="pct"/>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hideMark/>
          </w:tcPr>
          <w:p w:rsidR="003C11F9" w:rsidRPr="00DE3690" w:rsidRDefault="003C11F9" w:rsidP="003C11F9">
            <w:pPr>
              <w:spacing w:after="0" w:line="240" w:lineRule="auto"/>
              <w:jc w:val="center"/>
              <w:rPr>
                <w:rFonts w:eastAsia="Times New Roman" w:cs="Calibri"/>
                <w:b/>
                <w:bCs/>
                <w:sz w:val="24"/>
                <w:szCs w:val="24"/>
                <w:lang w:eastAsia="pt-BR"/>
              </w:rPr>
            </w:pPr>
            <w:r w:rsidRPr="00DE3690">
              <w:rPr>
                <w:rFonts w:eastAsia="Times New Roman" w:cs="Calibri"/>
                <w:b/>
                <w:bCs/>
                <w:sz w:val="24"/>
                <w:szCs w:val="24"/>
                <w:lang w:eastAsia="pt-BR"/>
              </w:rPr>
              <w:t>Artigo</w:t>
            </w:r>
          </w:p>
        </w:tc>
        <w:tc>
          <w:tcPr>
            <w:tcW w:w="3354" w:type="pct"/>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3C11F9" w:rsidRPr="00DE3690" w:rsidRDefault="003C11F9" w:rsidP="003C11F9">
            <w:pPr>
              <w:spacing w:after="0" w:line="240" w:lineRule="auto"/>
              <w:jc w:val="center"/>
              <w:rPr>
                <w:rFonts w:eastAsia="Times New Roman" w:cs="Calibri"/>
                <w:b/>
                <w:bCs/>
                <w:sz w:val="24"/>
                <w:szCs w:val="24"/>
                <w:lang w:eastAsia="pt-BR"/>
              </w:rPr>
            </w:pPr>
            <w:r w:rsidRPr="00DE3690">
              <w:rPr>
                <w:rFonts w:eastAsia="Times New Roman" w:cs="Calibri"/>
                <w:b/>
                <w:bCs/>
                <w:sz w:val="24"/>
                <w:szCs w:val="24"/>
                <w:lang w:eastAsia="pt-BR"/>
              </w:rPr>
              <w:t>Tipo de Ativo</w:t>
            </w:r>
          </w:p>
        </w:tc>
        <w:tc>
          <w:tcPr>
            <w:tcW w:w="551" w:type="pct"/>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hideMark/>
          </w:tcPr>
          <w:p w:rsidR="003C11F9" w:rsidRPr="00DE3690" w:rsidRDefault="003C11F9" w:rsidP="003C11F9">
            <w:pPr>
              <w:spacing w:after="0" w:line="240" w:lineRule="auto"/>
              <w:jc w:val="center"/>
              <w:rPr>
                <w:rFonts w:eastAsia="Times New Roman" w:cs="Calibri"/>
                <w:b/>
                <w:bCs/>
                <w:sz w:val="24"/>
                <w:szCs w:val="24"/>
                <w:lang w:eastAsia="pt-BR"/>
              </w:rPr>
            </w:pPr>
            <w:r w:rsidRPr="00DE3690">
              <w:rPr>
                <w:rFonts w:eastAsia="Times New Roman" w:cs="Calibri"/>
                <w:b/>
                <w:bCs/>
                <w:sz w:val="24"/>
                <w:szCs w:val="24"/>
                <w:lang w:eastAsia="pt-BR"/>
              </w:rPr>
              <w:t>Lim. CMN</w:t>
            </w:r>
          </w:p>
        </w:tc>
        <w:tc>
          <w:tcPr>
            <w:tcW w:w="523" w:type="pct"/>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hideMark/>
          </w:tcPr>
          <w:p w:rsidR="003C11F9" w:rsidRPr="00DE3690" w:rsidRDefault="003C11F9" w:rsidP="003C11F9">
            <w:pPr>
              <w:spacing w:after="0" w:line="240" w:lineRule="auto"/>
              <w:jc w:val="center"/>
              <w:rPr>
                <w:rFonts w:eastAsia="Times New Roman" w:cs="Calibri"/>
                <w:b/>
                <w:bCs/>
                <w:sz w:val="24"/>
                <w:szCs w:val="24"/>
                <w:lang w:eastAsia="pt-BR"/>
              </w:rPr>
            </w:pPr>
            <w:r w:rsidRPr="00DE3690">
              <w:rPr>
                <w:rFonts w:eastAsia="Times New Roman" w:cs="Calibri"/>
                <w:b/>
                <w:bCs/>
                <w:sz w:val="24"/>
                <w:szCs w:val="24"/>
                <w:lang w:eastAsia="pt-BR"/>
              </w:rPr>
              <w:t>Lim. PI</w:t>
            </w:r>
          </w:p>
        </w:tc>
      </w:tr>
      <w:tr w:rsidR="0093327A" w:rsidRPr="00DE3690" w:rsidTr="00155D21">
        <w:trPr>
          <w:trHeight w:val="315"/>
        </w:trPr>
        <w:tc>
          <w:tcPr>
            <w:tcW w:w="572" w:type="pct"/>
            <w:tcBorders>
              <w:top w:val="single" w:sz="4" w:space="0" w:color="auto"/>
              <w:left w:val="single" w:sz="8" w:space="0" w:color="auto"/>
              <w:bottom w:val="single" w:sz="8" w:space="0" w:color="auto"/>
              <w:right w:val="single" w:sz="8" w:space="0" w:color="auto"/>
            </w:tcBorders>
            <w:shd w:val="clear" w:color="000000" w:fill="2F75B5"/>
            <w:noWrap/>
            <w:vAlign w:val="bottom"/>
            <w:hideMark/>
          </w:tcPr>
          <w:p w:rsidR="0093327A" w:rsidRPr="00DE3690" w:rsidRDefault="0093327A" w:rsidP="00D57A99">
            <w:pPr>
              <w:spacing w:after="0" w:line="240" w:lineRule="auto"/>
              <w:rPr>
                <w:rFonts w:eastAsia="Times New Roman" w:cs="Calibri"/>
                <w:bCs/>
                <w:sz w:val="24"/>
                <w:szCs w:val="24"/>
                <w:lang w:eastAsia="pt-BR"/>
              </w:rPr>
            </w:pPr>
          </w:p>
        </w:tc>
        <w:tc>
          <w:tcPr>
            <w:tcW w:w="3354" w:type="pct"/>
            <w:tcBorders>
              <w:top w:val="single" w:sz="4" w:space="0" w:color="auto"/>
              <w:left w:val="nil"/>
              <w:bottom w:val="single" w:sz="8" w:space="0" w:color="auto"/>
              <w:right w:val="nil"/>
            </w:tcBorders>
            <w:shd w:val="clear" w:color="000000" w:fill="2F75B5"/>
            <w:vAlign w:val="bottom"/>
            <w:hideMark/>
          </w:tcPr>
          <w:p w:rsidR="0093327A" w:rsidRPr="00DE3690" w:rsidRDefault="0093327A" w:rsidP="00D57A99">
            <w:pPr>
              <w:spacing w:after="0" w:line="240" w:lineRule="auto"/>
              <w:rPr>
                <w:rFonts w:eastAsia="Times New Roman" w:cs="Calibri"/>
                <w:bCs/>
                <w:sz w:val="24"/>
                <w:szCs w:val="24"/>
                <w:lang w:eastAsia="pt-BR"/>
              </w:rPr>
            </w:pPr>
            <w:r w:rsidRPr="00DE3690">
              <w:rPr>
                <w:rFonts w:eastAsia="Times New Roman" w:cs="Calibri"/>
                <w:bCs/>
                <w:sz w:val="24"/>
                <w:szCs w:val="24"/>
                <w:lang w:eastAsia="pt-BR"/>
              </w:rPr>
              <w:t> Segmento de Renda Fixa</w:t>
            </w:r>
          </w:p>
        </w:tc>
        <w:tc>
          <w:tcPr>
            <w:tcW w:w="551" w:type="pct"/>
            <w:tcBorders>
              <w:top w:val="single" w:sz="4" w:space="0" w:color="auto"/>
              <w:left w:val="nil"/>
              <w:bottom w:val="single" w:sz="8" w:space="0" w:color="auto"/>
              <w:right w:val="nil"/>
            </w:tcBorders>
            <w:shd w:val="clear" w:color="000000" w:fill="2F75B5"/>
            <w:noWrap/>
            <w:vAlign w:val="center"/>
            <w:hideMark/>
          </w:tcPr>
          <w:p w:rsidR="0093327A" w:rsidRPr="00DE3690" w:rsidRDefault="0093327A" w:rsidP="00D57A99">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 </w:t>
            </w:r>
          </w:p>
        </w:tc>
        <w:tc>
          <w:tcPr>
            <w:tcW w:w="523" w:type="pct"/>
            <w:tcBorders>
              <w:top w:val="single" w:sz="4" w:space="0" w:color="auto"/>
              <w:left w:val="nil"/>
              <w:bottom w:val="single" w:sz="8" w:space="0" w:color="auto"/>
              <w:right w:val="single" w:sz="8" w:space="0" w:color="auto"/>
            </w:tcBorders>
            <w:shd w:val="clear" w:color="000000" w:fill="2F75B5"/>
            <w:noWrap/>
            <w:vAlign w:val="center"/>
            <w:hideMark/>
          </w:tcPr>
          <w:p w:rsidR="0093327A" w:rsidRPr="00DE3690" w:rsidRDefault="0093327A" w:rsidP="00D57A99">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 </w:t>
            </w:r>
          </w:p>
        </w:tc>
      </w:tr>
      <w:tr w:rsidR="005B7FB2" w:rsidRPr="00DE3690" w:rsidTr="00155D21">
        <w:trPr>
          <w:trHeight w:val="315"/>
        </w:trPr>
        <w:tc>
          <w:tcPr>
            <w:tcW w:w="572" w:type="pct"/>
            <w:tcBorders>
              <w:top w:val="single" w:sz="8" w:space="0" w:color="44546A"/>
              <w:left w:val="single" w:sz="8" w:space="0" w:color="auto"/>
              <w:bottom w:val="nil"/>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w:t>
            </w:r>
          </w:p>
        </w:tc>
        <w:tc>
          <w:tcPr>
            <w:tcW w:w="3354" w:type="pct"/>
            <w:tcBorders>
              <w:top w:val="single" w:sz="8" w:space="0" w:color="44546A"/>
              <w:left w:val="nil"/>
              <w:bottom w:val="nil"/>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Renda Fixa e Títulos Públicos</w:t>
            </w:r>
          </w:p>
        </w:tc>
        <w:tc>
          <w:tcPr>
            <w:tcW w:w="551" w:type="pct"/>
            <w:tcBorders>
              <w:top w:val="single" w:sz="4" w:space="0" w:color="auto"/>
              <w:left w:val="nil"/>
              <w:bottom w:val="single" w:sz="8" w:space="0" w:color="auto"/>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c>
          <w:tcPr>
            <w:tcW w:w="523" w:type="pct"/>
            <w:tcBorders>
              <w:top w:val="single" w:sz="8" w:space="0" w:color="44546A"/>
              <w:left w:val="single" w:sz="8" w:space="0" w:color="auto"/>
              <w:bottom w:val="nil"/>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r>
      <w:tr w:rsidR="005B7FB2" w:rsidRPr="00DE3690" w:rsidTr="00155D21">
        <w:trPr>
          <w:trHeight w:val="300"/>
        </w:trPr>
        <w:tc>
          <w:tcPr>
            <w:tcW w:w="572" w:type="pct"/>
            <w:tcBorders>
              <w:top w:val="single" w:sz="8" w:space="0" w:color="auto"/>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w:t>
            </w:r>
          </w:p>
        </w:tc>
        <w:tc>
          <w:tcPr>
            <w:tcW w:w="3354" w:type="pct"/>
            <w:tcBorders>
              <w:top w:val="single" w:sz="8" w:space="0" w:color="auto"/>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Fundos 100% Títulos Públicos ou 100% Títulos Públicos (TP)</w:t>
            </w:r>
          </w:p>
        </w:tc>
        <w:tc>
          <w:tcPr>
            <w:tcW w:w="551" w:type="pct"/>
            <w:tcBorders>
              <w:top w:val="single" w:sz="8" w:space="0" w:color="auto"/>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c>
          <w:tcPr>
            <w:tcW w:w="523" w:type="pct"/>
            <w:tcBorders>
              <w:top w:val="single" w:sz="8" w:space="0" w:color="auto"/>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Títulos do Tesouro Nacional / Registro Selic</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Referenciados em renda fixa com 100% TP</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r>
      <w:tr w:rsidR="005B7FB2" w:rsidRPr="00DE3690" w:rsidTr="00155D21">
        <w:trPr>
          <w:trHeight w:val="285"/>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 c</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em Índice de Mercado Renda Fixa negociável em Bolsa 100% TP</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II</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Operações Compromissadas Lastro 100% TP</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DE3690" w:rsidP="00DE3690">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III</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Fundos de Índice de Renda Fixa (RF) (com exceção do CDI/Selic)</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r>
      <w:tr w:rsidR="005B7FB2" w:rsidRPr="00DE3690" w:rsidTr="00155D21">
        <w:trPr>
          <w:trHeight w:val="48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III,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Referenciados / Cond. Abertos / Indexador Exclusivos Índice RF</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III,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em Índice RF / Indexador Exclusivos Índice RF</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60%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IV</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Fundos Renda Fixa Geral</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IV,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Renda Fixa / Cond. Abertos</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r>
      <w:tr w:rsidR="005B7FB2" w:rsidRPr="00DE3690" w:rsidTr="00155D21">
        <w:trPr>
          <w:trHeight w:val="48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IV,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Índice RF negociáveis em Bolsa de Valores</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40%</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Letras Imobiliárias Garantidas (LIG)</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DE3690" w:rsidP="00DE3690">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DE3690" w:rsidP="00DE3690">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Letras Imobiliárias Garantidas (LIG)</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p>
        </w:tc>
      </w:tr>
      <w:tr w:rsidR="005B7FB2" w:rsidRPr="00DE3690" w:rsidTr="00155D21">
        <w:trPr>
          <w:trHeight w:val="48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 e VII</w:t>
            </w:r>
          </w:p>
        </w:tc>
        <w:tc>
          <w:tcPr>
            <w:tcW w:w="3354" w:type="pct"/>
            <w:tcBorders>
              <w:top w:val="nil"/>
              <w:left w:val="nil"/>
              <w:bottom w:val="single" w:sz="4" w:space="0" w:color="F2F2F2"/>
              <w:right w:val="single" w:sz="8" w:space="0" w:color="auto"/>
            </w:tcBorders>
            <w:shd w:val="clear" w:color="auto" w:fill="auto"/>
            <w:vAlign w:val="center"/>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Títulos e Valores mobiliários (TVM) e Fundos com Lastro em Crédito Privado</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TVM de Instituições Financeiras</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Certificado de Depósitos Bancário (CDB) até o limite do FGC</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Depósito em Poupança</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48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VII</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Fundos com Lastro em Crédito Privado</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15</w:t>
            </w:r>
            <w:r w:rsidR="005B7FB2" w:rsidRPr="00DE3690">
              <w:rPr>
                <w:rFonts w:eastAsia="Times New Roman" w:cs="Calibri"/>
                <w:bCs/>
                <w:sz w:val="24"/>
                <w:szCs w:val="24"/>
                <w:lang w:eastAsia="pt-BR"/>
              </w:rPr>
              <w:t>%</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VII, a</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6F3EED"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FIDC abertos</w:t>
            </w:r>
            <w:r w:rsidR="005B7FB2" w:rsidRPr="00DE3690">
              <w:rPr>
                <w:rFonts w:eastAsia="Times New Roman" w:cs="Calibri"/>
                <w:bCs/>
                <w:sz w:val="24"/>
                <w:szCs w:val="24"/>
                <w:lang w:eastAsia="pt-BR"/>
              </w:rPr>
              <w:t xml:space="preserve"> / Cotas Seniores</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C46818"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r w:rsidR="005B7FB2" w:rsidRPr="00DE3690">
              <w:rPr>
                <w:rFonts w:eastAsia="Times New Roman" w:cs="Calibri"/>
                <w:bCs/>
                <w:sz w:val="24"/>
                <w:szCs w:val="24"/>
                <w:lang w:eastAsia="pt-BR"/>
              </w:rPr>
              <w:t>%</w:t>
            </w:r>
          </w:p>
        </w:tc>
      </w:tr>
      <w:tr w:rsidR="005B7FB2" w:rsidRPr="00DE3690" w:rsidTr="00155D21">
        <w:trPr>
          <w:trHeight w:val="300"/>
        </w:trPr>
        <w:tc>
          <w:tcPr>
            <w:tcW w:w="572"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VII, b</w:t>
            </w:r>
          </w:p>
        </w:tc>
        <w:tc>
          <w:tcPr>
            <w:tcW w:w="3354" w:type="pct"/>
            <w:tcBorders>
              <w:top w:val="nil"/>
              <w:left w:val="nil"/>
              <w:bottom w:val="single" w:sz="4" w:space="0" w:color="F2F2F2"/>
              <w:right w:val="single" w:sz="8" w:space="0" w:color="auto"/>
            </w:tcBorders>
            <w:shd w:val="clear" w:color="auto" w:fill="auto"/>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Renda Fixa / Cond. Abertos / Crédito privado no Nome</w:t>
            </w:r>
          </w:p>
        </w:tc>
        <w:tc>
          <w:tcPr>
            <w:tcW w:w="551" w:type="pct"/>
            <w:tcBorders>
              <w:top w:val="nil"/>
              <w:left w:val="nil"/>
              <w:bottom w:val="single" w:sz="4" w:space="0" w:color="F2F2F2"/>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3" w:type="pct"/>
            <w:tcBorders>
              <w:top w:val="nil"/>
              <w:left w:val="single" w:sz="8" w:space="0" w:color="auto"/>
              <w:bottom w:val="single" w:sz="4" w:space="0" w:color="F2F2F2"/>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r>
      <w:tr w:rsidR="005B7FB2" w:rsidRPr="00DE3690" w:rsidTr="00155D21">
        <w:trPr>
          <w:trHeight w:val="315"/>
        </w:trPr>
        <w:tc>
          <w:tcPr>
            <w:tcW w:w="572" w:type="pct"/>
            <w:tcBorders>
              <w:top w:val="nil"/>
              <w:left w:val="single" w:sz="8" w:space="0" w:color="auto"/>
              <w:bottom w:val="single" w:sz="8" w:space="0" w:color="auto"/>
              <w:right w:val="single" w:sz="8" w:space="0" w:color="auto"/>
            </w:tcBorders>
            <w:shd w:val="clear" w:color="auto" w:fill="auto"/>
            <w:noWrap/>
            <w:vAlign w:val="center"/>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7°, VII, c</w:t>
            </w:r>
          </w:p>
        </w:tc>
        <w:tc>
          <w:tcPr>
            <w:tcW w:w="3354" w:type="pct"/>
            <w:tcBorders>
              <w:top w:val="nil"/>
              <w:left w:val="nil"/>
              <w:bottom w:val="single" w:sz="8" w:space="0" w:color="auto"/>
              <w:right w:val="single" w:sz="8" w:space="0" w:color="auto"/>
            </w:tcBorders>
            <w:shd w:val="clear" w:color="auto" w:fill="auto"/>
            <w:vAlign w:val="bottom"/>
            <w:hideMark/>
          </w:tcPr>
          <w:p w:rsidR="005B7FB2" w:rsidRPr="00DE3690" w:rsidRDefault="005B7FB2" w:rsidP="00292BAE">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de Debêntures de Infraestrutura</w:t>
            </w:r>
          </w:p>
        </w:tc>
        <w:tc>
          <w:tcPr>
            <w:tcW w:w="551" w:type="pct"/>
            <w:tcBorders>
              <w:top w:val="nil"/>
              <w:left w:val="nil"/>
              <w:bottom w:val="single" w:sz="8" w:space="0" w:color="auto"/>
              <w:right w:val="nil"/>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3" w:type="pct"/>
            <w:tcBorders>
              <w:top w:val="nil"/>
              <w:left w:val="single" w:sz="8" w:space="0" w:color="auto"/>
              <w:bottom w:val="single" w:sz="8" w:space="0" w:color="auto"/>
              <w:right w:val="single" w:sz="8" w:space="0" w:color="auto"/>
            </w:tcBorders>
            <w:shd w:val="clear" w:color="auto" w:fill="auto"/>
            <w:noWrap/>
            <w:vAlign w:val="center"/>
            <w:hideMark/>
          </w:tcPr>
          <w:p w:rsidR="005B7FB2" w:rsidRPr="00DE3690" w:rsidRDefault="005B7FB2" w:rsidP="00292BAE">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r>
    </w:tbl>
    <w:p w:rsidR="005B7FB2" w:rsidRDefault="005B7FB2" w:rsidP="004C5C54">
      <w:pPr>
        <w:pStyle w:val="Default"/>
        <w:jc w:val="both"/>
        <w:rPr>
          <w:rFonts w:asciiTheme="minorHAnsi" w:hAnsiTheme="minorHAnsi"/>
          <w:color w:val="auto"/>
        </w:rPr>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Default="00155D21" w:rsidP="004C5C54">
      <w:pPr>
        <w:pStyle w:val="Default"/>
        <w:jc w:val="both"/>
      </w:pPr>
    </w:p>
    <w:p w:rsidR="00155D21" w:rsidRPr="00DE3690" w:rsidRDefault="00155D21" w:rsidP="004C5C54">
      <w:pPr>
        <w:pStyle w:val="Default"/>
        <w:jc w:val="both"/>
        <w:rPr>
          <w:rFonts w:asciiTheme="minorHAnsi" w:hAnsiTheme="minorHAnsi"/>
          <w:color w:val="auto"/>
        </w:rPr>
      </w:pPr>
    </w:p>
    <w:tbl>
      <w:tblPr>
        <w:tblW w:w="5000" w:type="pct"/>
        <w:tblCellMar>
          <w:left w:w="70" w:type="dxa"/>
          <w:right w:w="70" w:type="dxa"/>
        </w:tblCellMar>
        <w:tblLook w:val="04A0" w:firstRow="1" w:lastRow="0" w:firstColumn="1" w:lastColumn="0" w:noHBand="0" w:noVBand="1"/>
      </w:tblPr>
      <w:tblGrid>
        <w:gridCol w:w="1159"/>
        <w:gridCol w:w="6757"/>
        <w:gridCol w:w="1085"/>
        <w:gridCol w:w="1060"/>
      </w:tblGrid>
      <w:tr w:rsidR="00155D21" w:rsidRPr="00DE3690" w:rsidTr="00AA1561">
        <w:trPr>
          <w:trHeight w:val="315"/>
        </w:trPr>
        <w:tc>
          <w:tcPr>
            <w:tcW w:w="576" w:type="pct"/>
            <w:tcBorders>
              <w:top w:val="nil"/>
              <w:left w:val="single" w:sz="8" w:space="0" w:color="auto"/>
              <w:bottom w:val="single" w:sz="8" w:space="0" w:color="auto"/>
              <w:right w:val="single" w:sz="8" w:space="0" w:color="auto"/>
            </w:tcBorders>
            <w:shd w:val="clear" w:color="000000" w:fill="2F75B5"/>
            <w:noWrap/>
            <w:vAlign w:val="bottom"/>
            <w:hideMark/>
          </w:tcPr>
          <w:p w:rsidR="00155D21" w:rsidRPr="00DE3690" w:rsidRDefault="00155D21" w:rsidP="00AA1561">
            <w:pPr>
              <w:spacing w:after="0" w:line="240" w:lineRule="auto"/>
              <w:rPr>
                <w:rFonts w:eastAsia="Times New Roman" w:cs="Calibri"/>
                <w:bCs/>
                <w:sz w:val="24"/>
                <w:szCs w:val="24"/>
                <w:lang w:eastAsia="pt-BR"/>
              </w:rPr>
            </w:pPr>
          </w:p>
        </w:tc>
        <w:tc>
          <w:tcPr>
            <w:tcW w:w="3358" w:type="pct"/>
            <w:tcBorders>
              <w:top w:val="nil"/>
              <w:left w:val="nil"/>
              <w:bottom w:val="single" w:sz="8" w:space="0" w:color="auto"/>
              <w:right w:val="nil"/>
            </w:tcBorders>
            <w:shd w:val="clear" w:color="000000" w:fill="2F75B5"/>
            <w:vAlign w:val="bottom"/>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 Segmento de Renda Variável e Investimentos Estruturados</w:t>
            </w:r>
          </w:p>
        </w:tc>
        <w:tc>
          <w:tcPr>
            <w:tcW w:w="539" w:type="pct"/>
            <w:tcBorders>
              <w:top w:val="nil"/>
              <w:left w:val="nil"/>
              <w:bottom w:val="single" w:sz="8" w:space="0" w:color="auto"/>
              <w:right w:val="nil"/>
            </w:tcBorders>
            <w:shd w:val="clear" w:color="000000" w:fill="2F75B5"/>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 </w:t>
            </w:r>
          </w:p>
        </w:tc>
        <w:tc>
          <w:tcPr>
            <w:tcW w:w="527" w:type="pct"/>
            <w:tcBorders>
              <w:top w:val="nil"/>
              <w:left w:val="nil"/>
              <w:bottom w:val="single" w:sz="8" w:space="0" w:color="auto"/>
              <w:right w:val="single" w:sz="8" w:space="0" w:color="auto"/>
            </w:tcBorders>
            <w:shd w:val="clear" w:color="000000" w:fill="2F75B5"/>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 </w:t>
            </w:r>
          </w:p>
        </w:tc>
      </w:tr>
      <w:tr w:rsidR="00155D21" w:rsidRPr="00DE3690" w:rsidTr="00AA1561">
        <w:trPr>
          <w:trHeight w:val="315"/>
        </w:trPr>
        <w:tc>
          <w:tcPr>
            <w:tcW w:w="576" w:type="pct"/>
            <w:tcBorders>
              <w:top w:val="nil"/>
              <w:left w:val="single" w:sz="8" w:space="0" w:color="auto"/>
              <w:bottom w:val="single" w:sz="8" w:space="0" w:color="44546A"/>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w:t>
            </w:r>
          </w:p>
        </w:tc>
        <w:tc>
          <w:tcPr>
            <w:tcW w:w="3358" w:type="pct"/>
            <w:tcBorders>
              <w:top w:val="nil"/>
              <w:left w:val="nil"/>
              <w:bottom w:val="single" w:sz="8" w:space="0" w:color="44546A"/>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Renda Variável e Investimentos Estruturados</w:t>
            </w:r>
          </w:p>
        </w:tc>
        <w:tc>
          <w:tcPr>
            <w:tcW w:w="539" w:type="pct"/>
            <w:tcBorders>
              <w:top w:val="nil"/>
              <w:left w:val="nil"/>
              <w:bottom w:val="single" w:sz="8" w:space="0" w:color="44546A"/>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c>
          <w:tcPr>
            <w:tcW w:w="527" w:type="pct"/>
            <w:tcBorders>
              <w:top w:val="nil"/>
              <w:left w:val="single" w:sz="8" w:space="0" w:color="auto"/>
              <w:bottom w:val="single" w:sz="8" w:space="0" w:color="44546A"/>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r>
      <w:tr w:rsidR="00155D21" w:rsidRPr="00DE3690" w:rsidTr="00AA1561">
        <w:trPr>
          <w:trHeight w:val="300"/>
        </w:trPr>
        <w:tc>
          <w:tcPr>
            <w:tcW w:w="576" w:type="pct"/>
            <w:tcBorders>
              <w:top w:val="single" w:sz="4" w:space="0" w:color="F2F2F2"/>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w:t>
            </w:r>
          </w:p>
        </w:tc>
        <w:tc>
          <w:tcPr>
            <w:tcW w:w="3358" w:type="pct"/>
            <w:tcBorders>
              <w:top w:val="single" w:sz="4" w:space="0" w:color="F2F2F2"/>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em Índices de Renda Variável</w:t>
            </w:r>
          </w:p>
        </w:tc>
        <w:tc>
          <w:tcPr>
            <w:tcW w:w="539" w:type="pct"/>
            <w:tcBorders>
              <w:top w:val="single" w:sz="4" w:space="0" w:color="F2F2F2"/>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c>
          <w:tcPr>
            <w:tcW w:w="527" w:type="pct"/>
            <w:tcBorders>
              <w:top w:val="single" w:sz="4" w:space="0" w:color="F2F2F2"/>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r>
      <w:tr w:rsidR="00155D21" w:rsidRPr="00DE3690" w:rsidTr="00AA1561">
        <w:trPr>
          <w:trHeight w:val="300"/>
        </w:trPr>
        <w:tc>
          <w:tcPr>
            <w:tcW w:w="576"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 a</w:t>
            </w:r>
          </w:p>
        </w:tc>
        <w:tc>
          <w:tcPr>
            <w:tcW w:w="3358" w:type="pct"/>
            <w:tcBorders>
              <w:top w:val="nil"/>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Abertos / Indexador Índices &gt;50 ações</w:t>
            </w:r>
          </w:p>
        </w:tc>
        <w:tc>
          <w:tcPr>
            <w:tcW w:w="539" w:type="pct"/>
            <w:tcBorders>
              <w:top w:val="nil"/>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c>
          <w:tcPr>
            <w:tcW w:w="527"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r>
      <w:tr w:rsidR="00155D21" w:rsidRPr="00DE3690" w:rsidTr="00AA1561">
        <w:trPr>
          <w:trHeight w:val="300"/>
        </w:trPr>
        <w:tc>
          <w:tcPr>
            <w:tcW w:w="576"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 b</w:t>
            </w:r>
          </w:p>
        </w:tc>
        <w:tc>
          <w:tcPr>
            <w:tcW w:w="3358" w:type="pct"/>
            <w:tcBorders>
              <w:top w:val="nil"/>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em Índice de Renda Variável / Indexador Índices &gt;50 ações</w:t>
            </w:r>
          </w:p>
        </w:tc>
        <w:tc>
          <w:tcPr>
            <w:tcW w:w="539" w:type="pct"/>
            <w:tcBorders>
              <w:top w:val="nil"/>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c>
          <w:tcPr>
            <w:tcW w:w="527"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30%</w:t>
            </w:r>
          </w:p>
        </w:tc>
      </w:tr>
      <w:tr w:rsidR="00155D21" w:rsidRPr="00DE3690" w:rsidTr="00AA1561">
        <w:trPr>
          <w:trHeight w:val="300"/>
        </w:trPr>
        <w:tc>
          <w:tcPr>
            <w:tcW w:w="576"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II</w:t>
            </w:r>
          </w:p>
        </w:tc>
        <w:tc>
          <w:tcPr>
            <w:tcW w:w="3358" w:type="pct"/>
            <w:tcBorders>
              <w:top w:val="nil"/>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Fundos de Investimento em Ações (FIA) e FI Índice Renda Variável</w:t>
            </w:r>
          </w:p>
        </w:tc>
        <w:tc>
          <w:tcPr>
            <w:tcW w:w="539" w:type="pct"/>
            <w:tcBorders>
              <w:top w:val="nil"/>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7"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r>
      <w:tr w:rsidR="00155D21" w:rsidRPr="00DE3690" w:rsidTr="00AA1561">
        <w:trPr>
          <w:trHeight w:val="300"/>
        </w:trPr>
        <w:tc>
          <w:tcPr>
            <w:tcW w:w="576"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II, a</w:t>
            </w:r>
          </w:p>
        </w:tc>
        <w:tc>
          <w:tcPr>
            <w:tcW w:w="3358" w:type="pct"/>
            <w:tcBorders>
              <w:top w:val="nil"/>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FIA Condomínio Aberto</w:t>
            </w:r>
          </w:p>
        </w:tc>
        <w:tc>
          <w:tcPr>
            <w:tcW w:w="539" w:type="pct"/>
            <w:tcBorders>
              <w:top w:val="nil"/>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7"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r>
      <w:tr w:rsidR="00155D21" w:rsidRPr="00DE3690" w:rsidTr="00AA1561">
        <w:trPr>
          <w:trHeight w:val="300"/>
        </w:trPr>
        <w:tc>
          <w:tcPr>
            <w:tcW w:w="576"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II, b</w:t>
            </w:r>
          </w:p>
        </w:tc>
        <w:tc>
          <w:tcPr>
            <w:tcW w:w="3358" w:type="pct"/>
            <w:tcBorders>
              <w:top w:val="nil"/>
              <w:left w:val="nil"/>
              <w:bottom w:val="single" w:sz="4" w:space="0" w:color="F2F2F2"/>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Índice Renda Variável Negociável em Bolsa de Valores</w:t>
            </w:r>
          </w:p>
        </w:tc>
        <w:tc>
          <w:tcPr>
            <w:tcW w:w="539" w:type="pct"/>
            <w:tcBorders>
              <w:top w:val="nil"/>
              <w:left w:val="nil"/>
              <w:bottom w:val="single" w:sz="4" w:space="0" w:color="F2F2F2"/>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c>
          <w:tcPr>
            <w:tcW w:w="527" w:type="pct"/>
            <w:tcBorders>
              <w:top w:val="nil"/>
              <w:left w:val="single" w:sz="8" w:space="0" w:color="auto"/>
              <w:bottom w:val="single" w:sz="4" w:space="0" w:color="F2F2F2"/>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20%</w:t>
            </w:r>
          </w:p>
        </w:tc>
      </w:tr>
      <w:tr w:rsidR="00155D21" w:rsidRPr="00DE3690" w:rsidTr="00AA1561">
        <w:trPr>
          <w:trHeight w:val="300"/>
        </w:trPr>
        <w:tc>
          <w:tcPr>
            <w:tcW w:w="576" w:type="pct"/>
            <w:tcBorders>
              <w:top w:val="nil"/>
              <w:left w:val="single" w:sz="8" w:space="0" w:color="auto"/>
              <w:bottom w:val="nil"/>
              <w:right w:val="single" w:sz="8" w:space="0" w:color="auto"/>
            </w:tcBorders>
            <w:shd w:val="clear" w:color="auto" w:fill="auto"/>
            <w:noWrap/>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III</w:t>
            </w:r>
          </w:p>
        </w:tc>
        <w:tc>
          <w:tcPr>
            <w:tcW w:w="3358" w:type="pct"/>
            <w:tcBorders>
              <w:top w:val="nil"/>
              <w:left w:val="nil"/>
              <w:bottom w:val="nil"/>
              <w:right w:val="single" w:sz="8" w:space="0" w:color="auto"/>
            </w:tcBorders>
            <w:shd w:val="clear" w:color="auto" w:fill="auto"/>
            <w:vAlign w:val="center"/>
            <w:hideMark/>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Multimercado / Condomínio aberto e sem alavancagem</w:t>
            </w:r>
          </w:p>
        </w:tc>
        <w:tc>
          <w:tcPr>
            <w:tcW w:w="539" w:type="pct"/>
            <w:tcBorders>
              <w:top w:val="nil"/>
              <w:left w:val="nil"/>
              <w:bottom w:val="nil"/>
              <w:right w:val="nil"/>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w:t>
            </w:r>
          </w:p>
        </w:tc>
        <w:tc>
          <w:tcPr>
            <w:tcW w:w="527" w:type="pct"/>
            <w:tcBorders>
              <w:top w:val="nil"/>
              <w:left w:val="single" w:sz="8" w:space="0" w:color="auto"/>
              <w:bottom w:val="nil"/>
              <w:right w:val="single" w:sz="8" w:space="0" w:color="auto"/>
            </w:tcBorders>
            <w:shd w:val="clear" w:color="auto" w:fill="auto"/>
            <w:noWrap/>
            <w:vAlign w:val="center"/>
            <w:hideMark/>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w:t>
            </w:r>
          </w:p>
        </w:tc>
      </w:tr>
      <w:tr w:rsidR="00155D21" w:rsidRPr="00DE3690" w:rsidTr="00AA1561">
        <w:trPr>
          <w:trHeight w:val="300"/>
        </w:trPr>
        <w:tc>
          <w:tcPr>
            <w:tcW w:w="576" w:type="pct"/>
            <w:tcBorders>
              <w:top w:val="nil"/>
              <w:left w:val="single" w:sz="8" w:space="0" w:color="auto"/>
              <w:bottom w:val="nil"/>
              <w:right w:val="single" w:sz="8" w:space="0" w:color="auto"/>
            </w:tcBorders>
            <w:shd w:val="clear" w:color="auto" w:fill="auto"/>
            <w:noWrap/>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IV</w:t>
            </w:r>
          </w:p>
        </w:tc>
        <w:tc>
          <w:tcPr>
            <w:tcW w:w="3358" w:type="pct"/>
            <w:tcBorders>
              <w:top w:val="nil"/>
              <w:left w:val="nil"/>
              <w:bottom w:val="nil"/>
              <w:right w:val="single" w:sz="8" w:space="0" w:color="auto"/>
            </w:tcBorders>
            <w:shd w:val="clear" w:color="auto" w:fill="auto"/>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FIP (Fundos em Participações) e FII (Fundos Imobiliários)</w:t>
            </w:r>
          </w:p>
        </w:tc>
        <w:tc>
          <w:tcPr>
            <w:tcW w:w="539" w:type="pct"/>
            <w:tcBorders>
              <w:top w:val="nil"/>
              <w:left w:val="nil"/>
              <w:bottom w:val="nil"/>
              <w:right w:val="nil"/>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10%</w:t>
            </w:r>
          </w:p>
        </w:tc>
        <w:tc>
          <w:tcPr>
            <w:tcW w:w="527" w:type="pct"/>
            <w:tcBorders>
              <w:top w:val="nil"/>
              <w:left w:val="single" w:sz="8" w:space="0" w:color="auto"/>
              <w:bottom w:val="nil"/>
              <w:right w:val="single" w:sz="8" w:space="0" w:color="auto"/>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r>
      <w:tr w:rsidR="00155D21" w:rsidRPr="00DE3690" w:rsidTr="00AA1561">
        <w:trPr>
          <w:trHeight w:val="300"/>
        </w:trPr>
        <w:tc>
          <w:tcPr>
            <w:tcW w:w="576" w:type="pct"/>
            <w:tcBorders>
              <w:top w:val="nil"/>
              <w:left w:val="single" w:sz="8" w:space="0" w:color="auto"/>
              <w:right w:val="single" w:sz="8" w:space="0" w:color="auto"/>
            </w:tcBorders>
            <w:shd w:val="clear" w:color="auto" w:fill="auto"/>
            <w:noWrap/>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IV, a</w:t>
            </w:r>
          </w:p>
        </w:tc>
        <w:tc>
          <w:tcPr>
            <w:tcW w:w="3358" w:type="pct"/>
            <w:tcBorders>
              <w:top w:val="nil"/>
              <w:left w:val="nil"/>
              <w:right w:val="single" w:sz="8" w:space="0" w:color="auto"/>
            </w:tcBorders>
            <w:shd w:val="clear" w:color="auto" w:fill="auto"/>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em Participações / Condomínio fechado</w:t>
            </w:r>
          </w:p>
        </w:tc>
        <w:tc>
          <w:tcPr>
            <w:tcW w:w="539" w:type="pct"/>
            <w:tcBorders>
              <w:top w:val="nil"/>
              <w:left w:val="nil"/>
              <w:right w:val="nil"/>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7" w:type="pct"/>
            <w:tcBorders>
              <w:top w:val="nil"/>
              <w:left w:val="single" w:sz="8" w:space="0" w:color="auto"/>
              <w:right w:val="single" w:sz="8" w:space="0" w:color="auto"/>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0%</w:t>
            </w:r>
          </w:p>
        </w:tc>
      </w:tr>
      <w:tr w:rsidR="00155D21" w:rsidRPr="00DE3690" w:rsidTr="00AA1561">
        <w:trPr>
          <w:trHeight w:val="300"/>
        </w:trPr>
        <w:tc>
          <w:tcPr>
            <w:tcW w:w="576" w:type="pct"/>
            <w:tcBorders>
              <w:top w:val="nil"/>
              <w:left w:val="single" w:sz="8" w:space="0" w:color="auto"/>
              <w:bottom w:val="single" w:sz="4" w:space="0" w:color="auto"/>
              <w:right w:val="single" w:sz="8" w:space="0" w:color="auto"/>
            </w:tcBorders>
            <w:shd w:val="clear" w:color="auto" w:fill="auto"/>
            <w:noWrap/>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8°, IV, b</w:t>
            </w:r>
          </w:p>
        </w:tc>
        <w:tc>
          <w:tcPr>
            <w:tcW w:w="3358" w:type="pct"/>
            <w:tcBorders>
              <w:top w:val="nil"/>
              <w:left w:val="nil"/>
              <w:bottom w:val="single" w:sz="4" w:space="0" w:color="auto"/>
              <w:right w:val="single" w:sz="8" w:space="0" w:color="auto"/>
            </w:tcBorders>
            <w:shd w:val="clear" w:color="auto" w:fill="auto"/>
            <w:vAlign w:val="center"/>
          </w:tcPr>
          <w:p w:rsidR="00155D21" w:rsidRPr="00DE3690" w:rsidRDefault="00155D21" w:rsidP="00AA1561">
            <w:pPr>
              <w:spacing w:after="0" w:line="240" w:lineRule="auto"/>
              <w:rPr>
                <w:rFonts w:eastAsia="Times New Roman" w:cs="Calibri"/>
                <w:bCs/>
                <w:sz w:val="24"/>
                <w:szCs w:val="24"/>
                <w:lang w:eastAsia="pt-BR"/>
              </w:rPr>
            </w:pPr>
            <w:r w:rsidRPr="00DE3690">
              <w:rPr>
                <w:rFonts w:eastAsia="Times New Roman" w:cs="Calibri"/>
                <w:bCs/>
                <w:sz w:val="24"/>
                <w:szCs w:val="24"/>
                <w:lang w:eastAsia="pt-BR"/>
              </w:rPr>
              <w:t>FI Imobiliário / Cotas negociadas em bolsa de valores</w:t>
            </w:r>
          </w:p>
        </w:tc>
        <w:tc>
          <w:tcPr>
            <w:tcW w:w="539" w:type="pct"/>
            <w:tcBorders>
              <w:top w:val="nil"/>
              <w:left w:val="nil"/>
              <w:bottom w:val="single" w:sz="4" w:space="0" w:color="auto"/>
              <w:right w:val="nil"/>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c>
          <w:tcPr>
            <w:tcW w:w="527" w:type="pct"/>
            <w:tcBorders>
              <w:top w:val="nil"/>
              <w:left w:val="single" w:sz="8" w:space="0" w:color="auto"/>
              <w:bottom w:val="single" w:sz="4" w:space="0" w:color="auto"/>
              <w:right w:val="single" w:sz="8" w:space="0" w:color="auto"/>
            </w:tcBorders>
            <w:shd w:val="clear" w:color="auto" w:fill="auto"/>
            <w:noWrap/>
            <w:vAlign w:val="center"/>
          </w:tcPr>
          <w:p w:rsidR="00155D21" w:rsidRPr="00DE3690" w:rsidRDefault="00155D21" w:rsidP="00AA1561">
            <w:pPr>
              <w:spacing w:after="0" w:line="240" w:lineRule="auto"/>
              <w:jc w:val="center"/>
              <w:rPr>
                <w:rFonts w:eastAsia="Times New Roman" w:cs="Calibri"/>
                <w:bCs/>
                <w:sz w:val="24"/>
                <w:szCs w:val="24"/>
                <w:lang w:eastAsia="pt-BR"/>
              </w:rPr>
            </w:pPr>
            <w:r w:rsidRPr="00DE3690">
              <w:rPr>
                <w:rFonts w:eastAsia="Times New Roman" w:cs="Calibri"/>
                <w:bCs/>
                <w:sz w:val="24"/>
                <w:szCs w:val="24"/>
                <w:lang w:eastAsia="pt-BR"/>
              </w:rPr>
              <w:t>5%</w:t>
            </w:r>
          </w:p>
        </w:tc>
      </w:tr>
    </w:tbl>
    <w:p w:rsidR="00155D21" w:rsidRPr="00DE3690" w:rsidRDefault="00155D21" w:rsidP="00155D21">
      <w:pPr>
        <w:pStyle w:val="Default"/>
        <w:jc w:val="both"/>
        <w:rPr>
          <w:rFonts w:asciiTheme="minorHAnsi" w:hAnsiTheme="minorHAnsi"/>
          <w:color w:val="auto"/>
        </w:rPr>
      </w:pPr>
    </w:p>
    <w:p w:rsidR="00290F41" w:rsidRPr="00DE3690" w:rsidRDefault="00290F41" w:rsidP="00290F41">
      <w:pPr>
        <w:pStyle w:val="Default"/>
        <w:jc w:val="both"/>
        <w:rPr>
          <w:rFonts w:asciiTheme="minorHAnsi" w:hAnsiTheme="minorHAnsi"/>
          <w:color w:val="auto"/>
        </w:rPr>
      </w:pPr>
    </w:p>
    <w:p w:rsidR="00290F41" w:rsidRPr="00DE3690" w:rsidRDefault="00290F41" w:rsidP="00290F41">
      <w:pPr>
        <w:pStyle w:val="Default"/>
        <w:jc w:val="both"/>
        <w:rPr>
          <w:rStyle w:val="RefernciaIntensa"/>
          <w:rFonts w:asciiTheme="minorHAnsi" w:hAnsiTheme="minorHAnsi"/>
          <w:color w:val="auto"/>
        </w:rPr>
      </w:pPr>
      <w:r w:rsidRPr="00DE3690">
        <w:rPr>
          <w:rStyle w:val="RefernciaIntensa"/>
          <w:rFonts w:asciiTheme="minorHAnsi" w:hAnsiTheme="minorHAnsi"/>
          <w:color w:val="auto"/>
        </w:rPr>
        <w:t>ANEXO B – Declaração de Regularidade de Investidor Qualificado</w:t>
      </w:r>
    </w:p>
    <w:p w:rsidR="008E4B23" w:rsidRPr="00DE3690" w:rsidRDefault="008E4B23" w:rsidP="004C5C54">
      <w:pPr>
        <w:pStyle w:val="Default"/>
        <w:jc w:val="both"/>
        <w:rPr>
          <w:rFonts w:asciiTheme="minorHAnsi" w:hAnsiTheme="minorHAnsi"/>
          <w:color w:val="auto"/>
        </w:rPr>
      </w:pP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Declaração de Regularidade de Investidor Qualificado</w:t>
      </w: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(Portaria nº 300/MPS de 3 de julho de 2015)</w:t>
      </w:r>
    </w:p>
    <w:p w:rsidR="008E4B23" w:rsidRPr="00DE3690" w:rsidRDefault="008E4B23" w:rsidP="008E4B23">
      <w:pPr>
        <w:pStyle w:val="Default"/>
        <w:jc w:val="both"/>
        <w:rPr>
          <w:rFonts w:asciiTheme="minorHAnsi" w:hAnsiTheme="minorHAnsi"/>
          <w:color w:val="auto"/>
        </w:rPr>
      </w:pP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 xml:space="preserve">Declaro, tendo em vista os dados encaminhados ao MPS, que o RPPS do Município </w:t>
      </w:r>
      <w:r w:rsidR="00FA5462" w:rsidRPr="00DE3690">
        <w:rPr>
          <w:rFonts w:asciiTheme="minorHAnsi" w:hAnsiTheme="minorHAnsi"/>
          <w:color w:val="auto"/>
        </w:rPr>
        <w:t xml:space="preserve">de </w:t>
      </w:r>
      <w:r w:rsidR="00646827" w:rsidRPr="00DE3690">
        <w:rPr>
          <w:rFonts w:asciiTheme="minorHAnsi" w:hAnsiTheme="minorHAnsi"/>
          <w:color w:val="auto"/>
        </w:rPr>
        <w:t>Curitibanos</w:t>
      </w:r>
      <w:r w:rsidR="001E00D2" w:rsidRPr="00DE3690">
        <w:rPr>
          <w:rFonts w:asciiTheme="minorHAnsi" w:hAnsiTheme="minorHAnsi"/>
          <w:color w:val="auto"/>
        </w:rPr>
        <w:t>/SC</w:t>
      </w:r>
      <w:r w:rsidR="006C2D7B" w:rsidRPr="00DE3690">
        <w:rPr>
          <w:rFonts w:asciiTheme="minorHAnsi" w:hAnsiTheme="minorHAnsi"/>
          <w:color w:val="auto"/>
        </w:rPr>
        <w:t xml:space="preserve">, </w:t>
      </w:r>
      <w:r w:rsidR="00001D53" w:rsidRPr="00DE3690">
        <w:rPr>
          <w:rFonts w:asciiTheme="minorHAnsi" w:hAnsiTheme="minorHAnsi"/>
          <w:color w:val="auto"/>
        </w:rPr>
        <w:t>22 de outubro de 2018</w:t>
      </w:r>
      <w:r w:rsidR="001E00D2" w:rsidRPr="00DE3690">
        <w:rPr>
          <w:rFonts w:asciiTheme="minorHAnsi" w:hAnsiTheme="minorHAnsi"/>
          <w:color w:val="auto"/>
        </w:rPr>
        <w:t xml:space="preserve"> </w:t>
      </w:r>
      <w:r w:rsidRPr="00DE3690">
        <w:rPr>
          <w:rFonts w:asciiTheme="minorHAnsi" w:hAnsiTheme="minorHAnsi"/>
          <w:color w:val="auto"/>
        </w:rPr>
        <w:t>atende aos seguintes requisitos previstos no art. 6º-A da Portaria MPS 519/2011, incluído pelo art. 1º da Portaria MPS 300/2015:</w:t>
      </w:r>
    </w:p>
    <w:p w:rsidR="008E4B23" w:rsidRPr="00DE3690" w:rsidRDefault="008E4B23" w:rsidP="008E4B23">
      <w:pPr>
        <w:pStyle w:val="Default"/>
        <w:jc w:val="both"/>
        <w:rPr>
          <w:rFonts w:asciiTheme="minorHAnsi" w:hAnsiTheme="minorHAnsi"/>
          <w:color w:val="auto"/>
        </w:rPr>
      </w:pP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a)</w:t>
      </w:r>
      <w:r w:rsidRPr="00DE3690">
        <w:rPr>
          <w:rFonts w:asciiTheme="minorHAnsi" w:hAnsiTheme="minorHAnsi"/>
          <w:color w:val="auto"/>
        </w:rPr>
        <w:tab/>
        <w:t>Possui Certificado de Regularidade Previdenciária (CRP) vigente na data da realização da aplicação exclusiva para a categoria de investidor qualificado, comprovando o cumprimento das normas gerais de organização e funcionamento do RPP, estabelecidas na Lei nº 9.717/1998 e nos atos normativos dela decorrentes;</w:t>
      </w:r>
    </w:p>
    <w:p w:rsidR="001E00D2" w:rsidRPr="00DE3690" w:rsidRDefault="001E00D2" w:rsidP="008E4B23">
      <w:pPr>
        <w:pStyle w:val="Default"/>
        <w:jc w:val="both"/>
        <w:rPr>
          <w:rFonts w:asciiTheme="minorHAnsi" w:hAnsiTheme="minorHAnsi"/>
          <w:color w:val="auto"/>
        </w:rPr>
      </w:pP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b)</w:t>
      </w:r>
      <w:r w:rsidRPr="00DE3690">
        <w:rPr>
          <w:rFonts w:asciiTheme="minorHAnsi" w:hAnsiTheme="minorHAnsi"/>
          <w:color w:val="auto"/>
        </w:rPr>
        <w:tab/>
        <w:t xml:space="preserve">Possui um total de recursos </w:t>
      </w:r>
      <w:r w:rsidR="003C11F9" w:rsidRPr="00DE3690">
        <w:rPr>
          <w:rFonts w:asciiTheme="minorHAnsi" w:hAnsiTheme="minorHAnsi"/>
          <w:color w:val="auto"/>
        </w:rPr>
        <w:t xml:space="preserve">superior a R$ </w:t>
      </w:r>
      <w:r w:rsidR="001E00D2" w:rsidRPr="00DE3690">
        <w:rPr>
          <w:rFonts w:asciiTheme="minorHAnsi" w:hAnsiTheme="minorHAnsi"/>
          <w:color w:val="auto"/>
        </w:rPr>
        <w:t>10</w:t>
      </w:r>
      <w:r w:rsidRPr="00DE3690">
        <w:rPr>
          <w:rFonts w:asciiTheme="minorHAnsi" w:hAnsiTheme="minorHAnsi"/>
          <w:color w:val="auto"/>
        </w:rPr>
        <w:t xml:space="preserve"> milhões, conforme </w:t>
      </w:r>
      <w:r w:rsidR="003C11F9" w:rsidRPr="00DE3690">
        <w:rPr>
          <w:rFonts w:asciiTheme="minorHAnsi" w:hAnsiTheme="minorHAnsi"/>
          <w:color w:val="auto"/>
        </w:rPr>
        <w:t xml:space="preserve">último </w:t>
      </w:r>
      <w:r w:rsidRPr="00DE3690">
        <w:rPr>
          <w:rFonts w:asciiTheme="minorHAnsi" w:hAnsiTheme="minorHAnsi"/>
          <w:color w:val="auto"/>
        </w:rPr>
        <w:t>Demonstrativo de Aplicações e Investimentos dos Recursos (DAIR), imediatamente anterior à data da realização da aplicação exclusiva para a categoria de investidor qualificado; e</w:t>
      </w:r>
    </w:p>
    <w:p w:rsidR="001E00D2" w:rsidRPr="00DE3690" w:rsidRDefault="001E00D2" w:rsidP="008E4B23">
      <w:pPr>
        <w:pStyle w:val="Default"/>
        <w:jc w:val="both"/>
        <w:rPr>
          <w:rFonts w:asciiTheme="minorHAnsi" w:hAnsiTheme="minorHAnsi"/>
          <w:color w:val="auto"/>
        </w:rPr>
      </w:pPr>
    </w:p>
    <w:p w:rsidR="008E4B23" w:rsidRPr="00DE3690" w:rsidRDefault="008E4B23" w:rsidP="008E4B23">
      <w:pPr>
        <w:pStyle w:val="Default"/>
        <w:jc w:val="both"/>
        <w:rPr>
          <w:rFonts w:asciiTheme="minorHAnsi" w:hAnsiTheme="minorHAnsi"/>
          <w:color w:val="auto"/>
        </w:rPr>
      </w:pPr>
      <w:r w:rsidRPr="00DE3690">
        <w:rPr>
          <w:rFonts w:asciiTheme="minorHAnsi" w:hAnsiTheme="minorHAnsi"/>
          <w:color w:val="auto"/>
        </w:rPr>
        <w:t>c)</w:t>
      </w:r>
      <w:r w:rsidRPr="00DE3690">
        <w:rPr>
          <w:rFonts w:asciiTheme="minorHAnsi" w:hAnsiTheme="minorHAnsi"/>
          <w:color w:val="auto"/>
        </w:rPr>
        <w:tab/>
        <w:t>Possui Comitê de Investimento em funcionamento, conforme dados enviados ao MPS e divulgados no endereço eletrônico do MPS: http://www.previdencia.gov.br/regimes-proprios/consulta-aos-criterios-de-classificacao-de-investidor-qualificado-ou-profissional/, no qual podem ser também consultadas as informações dos demais requisitos acima.</w:t>
      </w:r>
    </w:p>
    <w:p w:rsidR="00F21B90" w:rsidRPr="00DE3690" w:rsidRDefault="00F21B90" w:rsidP="008E4B23">
      <w:pPr>
        <w:pStyle w:val="Default"/>
        <w:jc w:val="both"/>
        <w:rPr>
          <w:rFonts w:asciiTheme="minorHAnsi" w:hAnsiTheme="minorHAnsi"/>
          <w:color w:val="auto"/>
        </w:rPr>
      </w:pPr>
    </w:p>
    <w:p w:rsidR="008E4B23" w:rsidRPr="00DE3690" w:rsidRDefault="00646827" w:rsidP="008E4B23">
      <w:pPr>
        <w:pStyle w:val="Default"/>
        <w:jc w:val="both"/>
        <w:rPr>
          <w:rFonts w:asciiTheme="minorHAnsi" w:hAnsiTheme="minorHAnsi"/>
          <w:color w:val="auto"/>
        </w:rPr>
      </w:pPr>
      <w:r w:rsidRPr="00DE3690">
        <w:rPr>
          <w:rFonts w:asciiTheme="minorHAnsi" w:hAnsiTheme="minorHAnsi"/>
          <w:color w:val="auto"/>
        </w:rPr>
        <w:t>Curitibanos</w:t>
      </w:r>
      <w:r w:rsidR="001E00D2" w:rsidRPr="00DE3690">
        <w:rPr>
          <w:rFonts w:asciiTheme="minorHAnsi" w:hAnsiTheme="minorHAnsi"/>
          <w:color w:val="auto"/>
        </w:rPr>
        <w:t>/SC</w:t>
      </w:r>
      <w:r w:rsidR="006C2D7B" w:rsidRPr="00DE3690">
        <w:rPr>
          <w:rFonts w:asciiTheme="minorHAnsi" w:hAnsiTheme="minorHAnsi"/>
          <w:color w:val="auto"/>
        </w:rPr>
        <w:t xml:space="preserve">, </w:t>
      </w:r>
      <w:r w:rsidR="00001D53" w:rsidRPr="00DE3690">
        <w:rPr>
          <w:rFonts w:asciiTheme="minorHAnsi" w:hAnsiTheme="minorHAnsi"/>
          <w:color w:val="auto"/>
        </w:rPr>
        <w:t>22 de outubro de 2018</w:t>
      </w:r>
      <w:r w:rsidR="006C2D7B" w:rsidRPr="00DE3690">
        <w:rPr>
          <w:rFonts w:asciiTheme="minorHAnsi" w:hAnsiTheme="minorHAnsi"/>
          <w:color w:val="auto"/>
        </w:rPr>
        <w:t>.</w:t>
      </w:r>
    </w:p>
    <w:p w:rsidR="003C11F9" w:rsidRPr="00DE3690" w:rsidRDefault="003C11F9" w:rsidP="008E4B23">
      <w:pPr>
        <w:pStyle w:val="Default"/>
        <w:jc w:val="both"/>
        <w:rPr>
          <w:rFonts w:asciiTheme="minorHAnsi" w:hAnsiTheme="minorHAnsi"/>
          <w:color w:val="auto"/>
        </w:rPr>
      </w:pPr>
    </w:p>
    <w:p w:rsidR="003C11F9" w:rsidRPr="00DE3690" w:rsidRDefault="003C11F9" w:rsidP="008E4B23">
      <w:pPr>
        <w:pStyle w:val="Default"/>
        <w:jc w:val="both"/>
        <w:rPr>
          <w:rFonts w:asciiTheme="minorHAnsi" w:hAnsiTheme="minorHAnsi"/>
          <w:color w:val="auto"/>
        </w:rPr>
      </w:pPr>
    </w:p>
    <w:p w:rsidR="003C11F9" w:rsidRPr="00DE3690" w:rsidRDefault="003C11F9" w:rsidP="008E4B23">
      <w:pPr>
        <w:pStyle w:val="Default"/>
        <w:jc w:val="both"/>
        <w:rPr>
          <w:rFonts w:asciiTheme="minorHAnsi" w:hAnsiTheme="minorHAnsi"/>
          <w:color w:val="auto"/>
        </w:rPr>
      </w:pPr>
    </w:p>
    <w:p w:rsidR="002D76E8" w:rsidRDefault="002D76E8">
      <w:pPr>
        <w:rPr>
          <w:rStyle w:val="RefernciaIntensa"/>
          <w:color w:val="auto"/>
          <w:sz w:val="24"/>
          <w:szCs w:val="24"/>
        </w:rPr>
      </w:pPr>
    </w:p>
    <w:p w:rsidR="002D76E8" w:rsidRDefault="002D76E8">
      <w:pPr>
        <w:rPr>
          <w:rStyle w:val="RefernciaIntensa"/>
          <w:color w:val="auto"/>
          <w:sz w:val="24"/>
          <w:szCs w:val="24"/>
        </w:rPr>
      </w:pPr>
    </w:p>
    <w:p w:rsidR="002D76E8" w:rsidRDefault="002D76E8">
      <w:pPr>
        <w:rPr>
          <w:rStyle w:val="RefernciaIntensa"/>
          <w:color w:val="auto"/>
          <w:sz w:val="24"/>
          <w:szCs w:val="24"/>
        </w:rPr>
      </w:pPr>
    </w:p>
    <w:p w:rsidR="002D76E8" w:rsidRDefault="002D76E8">
      <w:pPr>
        <w:rPr>
          <w:rStyle w:val="RefernciaIntensa"/>
          <w:color w:val="auto"/>
          <w:sz w:val="24"/>
          <w:szCs w:val="24"/>
        </w:rPr>
      </w:pPr>
    </w:p>
    <w:p w:rsidR="002D76E8" w:rsidRDefault="002D76E8">
      <w:pPr>
        <w:rPr>
          <w:rStyle w:val="RefernciaIntensa"/>
          <w:color w:val="auto"/>
          <w:sz w:val="24"/>
          <w:szCs w:val="24"/>
        </w:rPr>
      </w:pPr>
    </w:p>
    <w:p w:rsidR="002D76E8" w:rsidRPr="00155D21" w:rsidRDefault="002D76E8" w:rsidP="00155D21">
      <w:pPr>
        <w:rPr>
          <w:rStyle w:val="RefernciaIntensa"/>
          <w:rFonts w:cs="Cambria"/>
          <w:color w:val="auto"/>
          <w:sz w:val="24"/>
          <w:szCs w:val="24"/>
        </w:rPr>
      </w:pPr>
      <w:r w:rsidRPr="002D76E8">
        <w:rPr>
          <w:rStyle w:val="RefernciaIntensa"/>
          <w:color w:val="auto"/>
        </w:rPr>
        <w:t>ANEXO C – Formulário de Informações sobre Comitê de Investimentos</w:t>
      </w:r>
    </w:p>
    <w:p w:rsidR="002D76E8" w:rsidRPr="00D15157"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sidRPr="00D15157">
        <w:rPr>
          <w:rFonts w:asciiTheme="minorHAnsi" w:hAnsiTheme="minorHAnsi"/>
        </w:rPr>
        <w:t>Este formulário tem por finalidade fornecer informações sobre o funcionamento do Comitê de Investimentos do Regime Próprio de Previdência Social (RPPS), nos termos do art. 2º da Portaria MPS/GM nº 300, de 3 de julho de 2015 e art. 3º-A da Portaria MPS/GM nº 519, de 24 de agosto de 2011.</w:t>
      </w:r>
    </w:p>
    <w:p w:rsidR="002D76E8" w:rsidRPr="00D15157"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sidRPr="00D15157">
        <w:rPr>
          <w:rFonts w:asciiTheme="minorHAnsi" w:hAnsiTheme="minorHAnsi"/>
        </w:rPr>
        <w:t>I - IDENTIFICAÇÃO</w:t>
      </w:r>
    </w:p>
    <w:p w:rsidR="002D76E8" w:rsidRPr="00D15157" w:rsidRDefault="002D76E8" w:rsidP="002D76E8">
      <w:pPr>
        <w:pStyle w:val="Default"/>
        <w:jc w:val="both"/>
        <w:rPr>
          <w:rFonts w:asciiTheme="minorHAnsi" w:hAnsiTheme="minorHAnsi"/>
        </w:rPr>
      </w:pPr>
      <w:r>
        <w:rPr>
          <w:rFonts w:asciiTheme="minorHAnsi" w:hAnsiTheme="minorHAnsi"/>
          <w:noProof/>
        </w:rPr>
        <w:pict>
          <v:rect id="Rectangle 2" o:spid="_x0000_s1035" style="position:absolute;left:0;text-align:left;margin-left:5.55pt;margin-top:-12.55pt;width:526.2pt;height:1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g5fQIAAPs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" o:allowincell="f" fillcolor="#f2f2f2" stroked="f"/>
        </w:pict>
      </w:r>
      <w:r w:rsidRPr="00D15157">
        <w:rPr>
          <w:rFonts w:asciiTheme="minorHAnsi" w:hAnsiTheme="minorHAnsi"/>
        </w:rPr>
        <w:t xml:space="preserve">Ente Federativo/UF: </w:t>
      </w:r>
      <w:r>
        <w:rPr>
          <w:rFonts w:asciiTheme="minorHAnsi" w:hAnsiTheme="minorHAnsi"/>
        </w:rPr>
        <w:t>Curitibanos/SC,</w:t>
      </w:r>
      <w:r w:rsidRPr="00D15157">
        <w:rPr>
          <w:rFonts w:asciiTheme="minorHAnsi" w:hAnsiTheme="minorHAnsi"/>
        </w:rPr>
        <w:t xml:space="preserve"> 22 de outubro de 2018.</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CNPJ do Ente Federativo: </w:t>
      </w:r>
      <w:r>
        <w:rPr>
          <w:rFonts w:asciiTheme="minorHAnsi" w:hAnsiTheme="minorHAnsi"/>
        </w:rPr>
        <w:t>83.754.044/0001-34</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Unidade Gestora RPPS: </w:t>
      </w:r>
      <w:r>
        <w:rPr>
          <w:rFonts w:asciiTheme="minorHAnsi" w:hAnsiTheme="minorHAnsi"/>
        </w:rPr>
        <w:t>IPESMUC</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CNPJ da Unidade Gestora: </w:t>
      </w:r>
      <w:r>
        <w:rPr>
          <w:rFonts w:asciiTheme="minorHAnsi" w:hAnsiTheme="minorHAnsi"/>
        </w:rPr>
        <w:t>03.688.948/0001-70</w:t>
      </w:r>
    </w:p>
    <w:p w:rsidR="002D76E8" w:rsidRPr="00D15157"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sidRPr="00D15157">
        <w:rPr>
          <w:rFonts w:asciiTheme="minorHAnsi" w:hAnsiTheme="minorHAnsi"/>
        </w:rPr>
        <w:t>II – CONSTITUIÇÃO E FUNCIONAMENTO DO COMITÊ DE INVESTIMENTOS</w:t>
      </w:r>
    </w:p>
    <w:p w:rsidR="002D76E8" w:rsidRPr="00D15157" w:rsidRDefault="002D76E8" w:rsidP="002D76E8">
      <w:pPr>
        <w:pStyle w:val="Default"/>
        <w:jc w:val="both"/>
        <w:rPr>
          <w:rFonts w:asciiTheme="minorHAnsi" w:hAnsiTheme="minorHAnsi"/>
        </w:rPr>
      </w:pPr>
      <w:r>
        <w:rPr>
          <w:rFonts w:asciiTheme="minorHAnsi" w:hAnsiTheme="minorHAnsi"/>
          <w:noProof/>
        </w:rPr>
        <w:pict>
          <v:rect id="Rectangle 3" o:spid="_x0000_s1036" style="position:absolute;left:0;text-align:left;margin-left:5.55pt;margin-top:-12.55pt;width:526.2pt;height:1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" o:allowincell="f" fillcolor="#f2f2f2" stroked="f"/>
        </w:pict>
      </w:r>
      <w:r w:rsidRPr="00D15157">
        <w:rPr>
          <w:rFonts w:asciiTheme="minorHAnsi" w:hAnsiTheme="minorHAnsi"/>
        </w:rPr>
        <w:t xml:space="preserve">Tipo de Norma da Constituição do Comitê (Lei Complementar/Lei/Decreto/Outros): </w:t>
      </w:r>
      <w:r>
        <w:rPr>
          <w:rFonts w:asciiTheme="minorHAnsi" w:hAnsiTheme="minorHAnsi"/>
        </w:rPr>
        <w:t>Decreto</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Número da Norma: </w:t>
      </w:r>
      <w:r>
        <w:rPr>
          <w:rFonts w:asciiTheme="minorHAnsi" w:hAnsiTheme="minorHAnsi"/>
        </w:rPr>
        <w:t>4.861/2017</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Data da Publicação da Norma:  </w:t>
      </w:r>
      <w:r>
        <w:rPr>
          <w:rFonts w:asciiTheme="minorHAnsi" w:hAnsiTheme="minorHAnsi"/>
        </w:rPr>
        <w:t>24.04.2017</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Periodicidade das Reuniões Ordinárias (quantidade de reuniões realizadas por mês): </w:t>
      </w:r>
      <w:r>
        <w:rPr>
          <w:rFonts w:asciiTheme="minorHAnsi" w:hAnsiTheme="minorHAnsi"/>
        </w:rPr>
        <w:t>Quadrimestralmente.</w:t>
      </w: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Data do último registro em ata das deliberações e decisões do Comitê de Investimentos: </w:t>
      </w:r>
      <w:r>
        <w:rPr>
          <w:rFonts w:asciiTheme="minorHAnsi" w:hAnsiTheme="minorHAnsi"/>
        </w:rPr>
        <w:t>17.09.2018</w:t>
      </w:r>
    </w:p>
    <w:p w:rsidR="002D76E8" w:rsidRPr="00D15157"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sidRPr="00D15157">
        <w:rPr>
          <w:rFonts w:asciiTheme="minorHAnsi" w:hAnsiTheme="minorHAnsi"/>
        </w:rPr>
        <w:t xml:space="preserve">III – DOS MEMBROS E DA COMPOSIÇÃO DO COMITÊ </w:t>
      </w:r>
    </w:p>
    <w:p w:rsidR="002D76E8" w:rsidRDefault="002D76E8" w:rsidP="002D76E8">
      <w:pPr>
        <w:pStyle w:val="Default"/>
        <w:jc w:val="both"/>
        <w:rPr>
          <w:rFonts w:asciiTheme="minorHAnsi" w:hAnsiTheme="minorHAnsi"/>
        </w:rPr>
      </w:pPr>
      <w:r>
        <w:rPr>
          <w:rFonts w:asciiTheme="minorHAnsi" w:hAnsiTheme="minorHAnsi"/>
        </w:rPr>
        <w:t xml:space="preserve">Membro 1: Carlos Roberto </w:t>
      </w:r>
      <w:proofErr w:type="spellStart"/>
      <w:r>
        <w:rPr>
          <w:rFonts w:asciiTheme="minorHAnsi" w:hAnsiTheme="minorHAnsi"/>
        </w:rPr>
        <w:t>Vezaro</w:t>
      </w:r>
      <w:proofErr w:type="spellEnd"/>
      <w:r>
        <w:rPr>
          <w:rFonts w:asciiTheme="minorHAnsi" w:hAnsiTheme="minorHAnsi"/>
        </w:rPr>
        <w:t xml:space="preserve"> (com certificado)</w:t>
      </w:r>
    </w:p>
    <w:p w:rsidR="002D76E8" w:rsidRDefault="002D76E8" w:rsidP="002D76E8">
      <w:pPr>
        <w:pStyle w:val="Default"/>
        <w:jc w:val="both"/>
        <w:rPr>
          <w:rFonts w:asciiTheme="minorHAnsi" w:hAnsiTheme="minorHAnsi"/>
        </w:rPr>
      </w:pPr>
    </w:p>
    <w:p w:rsidR="002D76E8" w:rsidRDefault="002D76E8" w:rsidP="002D76E8">
      <w:pPr>
        <w:pStyle w:val="Default"/>
        <w:jc w:val="both"/>
        <w:rPr>
          <w:rFonts w:asciiTheme="minorHAnsi" w:hAnsiTheme="minorHAnsi"/>
        </w:rPr>
      </w:pPr>
      <w:r>
        <w:rPr>
          <w:rFonts w:asciiTheme="minorHAnsi" w:hAnsiTheme="minorHAnsi"/>
        </w:rPr>
        <w:t>Membro 2: Ricardo Brocardo</w:t>
      </w:r>
      <w:r>
        <w:rPr>
          <w:rFonts w:asciiTheme="minorHAnsi" w:hAnsiTheme="minorHAnsi"/>
        </w:rPr>
        <w:t xml:space="preserve"> </w:t>
      </w:r>
      <w:r>
        <w:rPr>
          <w:rFonts w:asciiTheme="minorHAnsi" w:hAnsiTheme="minorHAnsi"/>
        </w:rPr>
        <w:t>(com certificado)</w:t>
      </w:r>
    </w:p>
    <w:p w:rsidR="002D76E8"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Pr>
          <w:rFonts w:asciiTheme="minorHAnsi" w:hAnsiTheme="minorHAnsi"/>
        </w:rPr>
        <w:t>Membro 3: Valdemir José Castilho</w:t>
      </w:r>
      <w:r w:rsidR="00155D21">
        <w:rPr>
          <w:rFonts w:asciiTheme="minorHAnsi" w:hAnsiTheme="minorHAnsi"/>
        </w:rPr>
        <w:t xml:space="preserve"> </w:t>
      </w:r>
      <w:r w:rsidR="00155D21">
        <w:rPr>
          <w:rFonts w:asciiTheme="minorHAnsi" w:hAnsiTheme="minorHAnsi"/>
        </w:rPr>
        <w:t>(com certificado)</w:t>
      </w:r>
      <w:bookmarkStart w:id="46" w:name="_GoBack"/>
      <w:bookmarkEnd w:id="46"/>
      <w:r>
        <w:rPr>
          <w:rFonts w:asciiTheme="minorHAnsi" w:hAnsiTheme="minorHAnsi"/>
        </w:rPr>
        <w:t xml:space="preserve"> </w:t>
      </w:r>
    </w:p>
    <w:p w:rsidR="002D76E8"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Pr>
          <w:rFonts w:asciiTheme="minorHAnsi" w:hAnsiTheme="minorHAnsi"/>
        </w:rPr>
        <w:t xml:space="preserve">Membro 4: Fabiana </w:t>
      </w:r>
      <w:proofErr w:type="spellStart"/>
      <w:r>
        <w:rPr>
          <w:rFonts w:asciiTheme="minorHAnsi" w:hAnsiTheme="minorHAnsi"/>
        </w:rPr>
        <w:t>Hemkmaier</w:t>
      </w:r>
      <w:proofErr w:type="spellEnd"/>
    </w:p>
    <w:p w:rsidR="002D76E8"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Pr>
          <w:rFonts w:asciiTheme="minorHAnsi" w:hAnsiTheme="minorHAnsi"/>
        </w:rPr>
        <w:t xml:space="preserve">Membro 5: Marisa Lemos </w:t>
      </w:r>
      <w:proofErr w:type="spellStart"/>
      <w:r>
        <w:rPr>
          <w:rFonts w:asciiTheme="minorHAnsi" w:hAnsiTheme="minorHAnsi"/>
        </w:rPr>
        <w:t>Guetten</w:t>
      </w:r>
      <w:proofErr w:type="spellEnd"/>
      <w:r>
        <w:rPr>
          <w:rFonts w:asciiTheme="minorHAnsi" w:hAnsiTheme="minorHAnsi"/>
        </w:rPr>
        <w:t xml:space="preserve"> Maciel</w:t>
      </w:r>
    </w:p>
    <w:p w:rsidR="002D76E8" w:rsidRDefault="002D76E8" w:rsidP="002D76E8">
      <w:pPr>
        <w:pStyle w:val="Default"/>
        <w:jc w:val="both"/>
        <w:rPr>
          <w:rFonts w:asciiTheme="minorHAnsi" w:hAnsiTheme="minorHAnsi"/>
        </w:rPr>
      </w:pPr>
    </w:p>
    <w:p w:rsidR="002D76E8" w:rsidRDefault="002D76E8" w:rsidP="002D76E8">
      <w:pPr>
        <w:pStyle w:val="Default"/>
        <w:jc w:val="both"/>
        <w:rPr>
          <w:rFonts w:asciiTheme="minorHAnsi" w:hAnsiTheme="minorHAnsi"/>
        </w:rPr>
      </w:pPr>
    </w:p>
    <w:p w:rsidR="002D76E8"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r w:rsidRPr="00D15157">
        <w:rPr>
          <w:rFonts w:asciiTheme="minorHAnsi" w:hAnsiTheme="minorHAnsi"/>
        </w:rPr>
        <w:t>Declaro, na forma da lei e para todos os fins de direito, a veracidade das informações acima prestadas.</w:t>
      </w:r>
    </w:p>
    <w:p w:rsidR="002D76E8" w:rsidRDefault="002D76E8" w:rsidP="002D76E8">
      <w:pPr>
        <w:pStyle w:val="Default"/>
        <w:jc w:val="both"/>
        <w:rPr>
          <w:rStyle w:val="RefernciaIntensa"/>
          <w:rFonts w:asciiTheme="minorHAnsi" w:hAnsiTheme="minorHAnsi"/>
        </w:rPr>
      </w:pPr>
    </w:p>
    <w:p w:rsidR="002D76E8" w:rsidRDefault="002D76E8" w:rsidP="002D76E8">
      <w:pPr>
        <w:pStyle w:val="Default"/>
        <w:jc w:val="both"/>
        <w:rPr>
          <w:rStyle w:val="RefernciaIntensa"/>
          <w:rFonts w:asciiTheme="minorHAnsi" w:hAnsiTheme="minorHAnsi"/>
        </w:rPr>
      </w:pPr>
    </w:p>
    <w:p w:rsidR="002D76E8" w:rsidRPr="00D15157" w:rsidRDefault="002D76E8" w:rsidP="002D76E8">
      <w:pPr>
        <w:pStyle w:val="Default"/>
        <w:jc w:val="both"/>
        <w:rPr>
          <w:rFonts w:asciiTheme="minorHAnsi" w:hAnsiTheme="minorHAnsi"/>
        </w:rPr>
      </w:pPr>
      <w:r>
        <w:rPr>
          <w:rFonts w:asciiTheme="minorHAnsi" w:hAnsiTheme="minorHAnsi"/>
        </w:rPr>
        <w:t>Curitibanos/SC</w:t>
      </w:r>
      <w:r w:rsidRPr="00D15157">
        <w:rPr>
          <w:rFonts w:asciiTheme="minorHAnsi" w:hAnsiTheme="minorHAnsi"/>
        </w:rPr>
        <w:t>, 22 de outubro de 2018.</w:t>
      </w:r>
    </w:p>
    <w:p w:rsidR="002D76E8" w:rsidRPr="00D15157" w:rsidRDefault="002D76E8" w:rsidP="002D76E8">
      <w:pPr>
        <w:pStyle w:val="Default"/>
        <w:jc w:val="both"/>
        <w:rPr>
          <w:rFonts w:asciiTheme="minorHAnsi" w:hAnsiTheme="minorHAnsi"/>
        </w:rPr>
      </w:pPr>
    </w:p>
    <w:p w:rsidR="002D76E8" w:rsidRPr="00D15157" w:rsidRDefault="002D76E8" w:rsidP="002D76E8">
      <w:pPr>
        <w:pStyle w:val="Default"/>
        <w:jc w:val="both"/>
        <w:rPr>
          <w:rFonts w:asciiTheme="minorHAnsi" w:hAnsiTheme="minorHAnsi"/>
        </w:rPr>
      </w:pPr>
    </w:p>
    <w:p w:rsidR="00863712" w:rsidRPr="00DE3690" w:rsidRDefault="00863712" w:rsidP="002D76E8">
      <w:pPr>
        <w:pStyle w:val="Default"/>
        <w:jc w:val="both"/>
      </w:pPr>
    </w:p>
    <w:sectPr w:rsidR="00863712" w:rsidRPr="00DE3690" w:rsidSect="00D57A99">
      <w:footerReference w:type="default" r:id="rId13"/>
      <w:pgSz w:w="11906" w:h="17338"/>
      <w:pgMar w:top="1418" w:right="851" w:bottom="1418" w:left="1134"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59" w:rsidRDefault="00F33059" w:rsidP="002B0990">
      <w:pPr>
        <w:spacing w:after="0" w:line="240" w:lineRule="auto"/>
      </w:pPr>
      <w:r>
        <w:separator/>
      </w:r>
    </w:p>
  </w:endnote>
  <w:endnote w:type="continuationSeparator" w:id="0">
    <w:p w:rsidR="00F33059" w:rsidRDefault="00F33059" w:rsidP="002B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907728"/>
      <w:docPartObj>
        <w:docPartGallery w:val="Page Numbers (Bottom of Page)"/>
        <w:docPartUnique/>
      </w:docPartObj>
    </w:sdtPr>
    <w:sdtContent>
      <w:p w:rsidR="007E52D5" w:rsidRDefault="007E52D5">
        <w:pPr>
          <w:pStyle w:val="Rodap"/>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7E52D5" w:rsidRDefault="007E52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59" w:rsidRDefault="00F33059" w:rsidP="002B0990">
      <w:pPr>
        <w:spacing w:after="0" w:line="240" w:lineRule="auto"/>
      </w:pPr>
      <w:r>
        <w:separator/>
      </w:r>
    </w:p>
  </w:footnote>
  <w:footnote w:type="continuationSeparator" w:id="0">
    <w:p w:rsidR="00F33059" w:rsidRDefault="00F33059" w:rsidP="002B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F85"/>
    <w:multiLevelType w:val="hybridMultilevel"/>
    <w:tmpl w:val="C22C9388"/>
    <w:lvl w:ilvl="0" w:tplc="04160017">
      <w:start w:val="1"/>
      <w:numFmt w:val="lowerLetter"/>
      <w:lvlText w:val="%1)"/>
      <w:lvlJc w:val="left"/>
      <w:pPr>
        <w:ind w:left="360" w:hanging="360"/>
      </w:pPr>
    </w:lvl>
    <w:lvl w:ilvl="1" w:tplc="04160013">
      <w:start w:val="1"/>
      <w:numFmt w:val="upperRoman"/>
      <w:lvlText w:val="%2."/>
      <w:lvlJc w:val="righ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6D2DAE"/>
    <w:multiLevelType w:val="hybridMultilevel"/>
    <w:tmpl w:val="70F00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34145A"/>
    <w:multiLevelType w:val="hybridMultilevel"/>
    <w:tmpl w:val="F06CF9CC"/>
    <w:lvl w:ilvl="0" w:tplc="04160001">
      <w:start w:val="1"/>
      <w:numFmt w:val="bullet"/>
      <w:lvlText w:val=""/>
      <w:lvlJc w:val="left"/>
      <w:pPr>
        <w:ind w:left="0" w:hanging="360"/>
      </w:pPr>
      <w:rPr>
        <w:rFonts w:ascii="Symbol" w:hAnsi="Symbo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3" w15:restartNumberingAfterBreak="0">
    <w:nsid w:val="084626A0"/>
    <w:multiLevelType w:val="hybridMultilevel"/>
    <w:tmpl w:val="031A4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9E2D22"/>
    <w:multiLevelType w:val="hybridMultilevel"/>
    <w:tmpl w:val="56CE89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10EF3"/>
    <w:multiLevelType w:val="hybridMultilevel"/>
    <w:tmpl w:val="55DEAA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3FE23B3"/>
    <w:multiLevelType w:val="hybridMultilevel"/>
    <w:tmpl w:val="A9DABAFE"/>
    <w:lvl w:ilvl="0" w:tplc="04160001">
      <w:start w:val="1"/>
      <w:numFmt w:val="bullet"/>
      <w:lvlText w:val=""/>
      <w:lvlJc w:val="left"/>
      <w:pPr>
        <w:ind w:left="720" w:hanging="360"/>
      </w:pPr>
      <w:rPr>
        <w:rFonts w:ascii="Symbol" w:hAnsi="Symbol" w:hint="default"/>
      </w:rPr>
    </w:lvl>
    <w:lvl w:ilvl="1" w:tplc="3FCE0D88">
      <w:numFmt w:val="bullet"/>
      <w:lvlText w:val="•"/>
      <w:lvlJc w:val="left"/>
      <w:pPr>
        <w:ind w:left="1785" w:hanging="705"/>
      </w:pPr>
      <w:rPr>
        <w:rFonts w:ascii="Cambria" w:eastAsiaTheme="minorHAnsi" w:hAnsi="Cambria" w:cs="Cambria"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9A16FF"/>
    <w:multiLevelType w:val="multilevel"/>
    <w:tmpl w:val="013CBE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8458B4"/>
    <w:multiLevelType w:val="hybridMultilevel"/>
    <w:tmpl w:val="70807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EE5DBE"/>
    <w:multiLevelType w:val="multilevel"/>
    <w:tmpl w:val="013CBE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432018"/>
    <w:multiLevelType w:val="hybridMultilevel"/>
    <w:tmpl w:val="E4461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D839E9"/>
    <w:multiLevelType w:val="hybridMultilevel"/>
    <w:tmpl w:val="A5147B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0907CA"/>
    <w:multiLevelType w:val="hybridMultilevel"/>
    <w:tmpl w:val="1F429FC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C2723F"/>
    <w:multiLevelType w:val="hybridMultilevel"/>
    <w:tmpl w:val="4830D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317030"/>
    <w:multiLevelType w:val="hybridMultilevel"/>
    <w:tmpl w:val="55ECB6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C46458"/>
    <w:multiLevelType w:val="hybridMultilevel"/>
    <w:tmpl w:val="BF5473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A2CCB"/>
    <w:multiLevelType w:val="hybridMultilevel"/>
    <w:tmpl w:val="2D380C6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773155F"/>
    <w:multiLevelType w:val="hybridMultilevel"/>
    <w:tmpl w:val="7BD65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82262B0"/>
    <w:multiLevelType w:val="hybridMultilevel"/>
    <w:tmpl w:val="4C329A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692A78"/>
    <w:multiLevelType w:val="hybridMultilevel"/>
    <w:tmpl w:val="E21E1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5763678"/>
    <w:multiLevelType w:val="hybridMultilevel"/>
    <w:tmpl w:val="B338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17CBE"/>
    <w:multiLevelType w:val="hybridMultilevel"/>
    <w:tmpl w:val="9DF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629F7"/>
    <w:multiLevelType w:val="hybridMultilevel"/>
    <w:tmpl w:val="E9227D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F13B91"/>
    <w:multiLevelType w:val="hybridMultilevel"/>
    <w:tmpl w:val="B61CEEC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778A3BDA"/>
    <w:multiLevelType w:val="hybridMultilevel"/>
    <w:tmpl w:val="62863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7B93B0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D60D33"/>
    <w:multiLevelType w:val="hybridMultilevel"/>
    <w:tmpl w:val="BC4C42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7A210E26"/>
    <w:multiLevelType w:val="hybridMultilevel"/>
    <w:tmpl w:val="4C1AE95C"/>
    <w:lvl w:ilvl="0" w:tplc="DE8095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BD6CF4"/>
    <w:multiLevelType w:val="hybridMultilevel"/>
    <w:tmpl w:val="1F429FC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13"/>
  </w:num>
  <w:num w:numId="5">
    <w:abstractNumId w:val="26"/>
  </w:num>
  <w:num w:numId="6">
    <w:abstractNumId w:val="24"/>
  </w:num>
  <w:num w:numId="7">
    <w:abstractNumId w:val="12"/>
  </w:num>
  <w:num w:numId="8">
    <w:abstractNumId w:val="28"/>
  </w:num>
  <w:num w:numId="9">
    <w:abstractNumId w:val="22"/>
  </w:num>
  <w:num w:numId="10">
    <w:abstractNumId w:val="25"/>
  </w:num>
  <w:num w:numId="11">
    <w:abstractNumId w:val="9"/>
  </w:num>
  <w:num w:numId="12">
    <w:abstractNumId w:val="19"/>
  </w:num>
  <w:num w:numId="13">
    <w:abstractNumId w:val="5"/>
  </w:num>
  <w:num w:numId="14">
    <w:abstractNumId w:val="0"/>
  </w:num>
  <w:num w:numId="15">
    <w:abstractNumId w:val="18"/>
  </w:num>
  <w:num w:numId="16">
    <w:abstractNumId w:val="11"/>
  </w:num>
  <w:num w:numId="17">
    <w:abstractNumId w:val="6"/>
  </w:num>
  <w:num w:numId="18">
    <w:abstractNumId w:val="4"/>
  </w:num>
  <w:num w:numId="19">
    <w:abstractNumId w:val="21"/>
  </w:num>
  <w:num w:numId="20">
    <w:abstractNumId w:val="20"/>
  </w:num>
  <w:num w:numId="21">
    <w:abstractNumId w:val="15"/>
  </w:num>
  <w:num w:numId="22">
    <w:abstractNumId w:val="14"/>
  </w:num>
  <w:num w:numId="23">
    <w:abstractNumId w:val="8"/>
  </w:num>
  <w:num w:numId="24">
    <w:abstractNumId w:val="27"/>
  </w:num>
  <w:num w:numId="25">
    <w:abstractNumId w:val="2"/>
  </w:num>
  <w:num w:numId="26">
    <w:abstractNumId w:val="7"/>
  </w:num>
  <w:num w:numId="27">
    <w:abstractNumId w:val="3"/>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F89"/>
    <w:rsid w:val="00001D53"/>
    <w:rsid w:val="00002461"/>
    <w:rsid w:val="00004C58"/>
    <w:rsid w:val="000051D8"/>
    <w:rsid w:val="00021EF9"/>
    <w:rsid w:val="000314B9"/>
    <w:rsid w:val="00031D75"/>
    <w:rsid w:val="0003440D"/>
    <w:rsid w:val="00045BF5"/>
    <w:rsid w:val="00046E92"/>
    <w:rsid w:val="00047DCC"/>
    <w:rsid w:val="00053E79"/>
    <w:rsid w:val="000621F2"/>
    <w:rsid w:val="000622F1"/>
    <w:rsid w:val="0006542B"/>
    <w:rsid w:val="00096A6B"/>
    <w:rsid w:val="00097882"/>
    <w:rsid w:val="000A36A6"/>
    <w:rsid w:val="000A4C2E"/>
    <w:rsid w:val="000B0BB2"/>
    <w:rsid w:val="000B5D13"/>
    <w:rsid w:val="000D7723"/>
    <w:rsid w:val="000E3580"/>
    <w:rsid w:val="000F19DE"/>
    <w:rsid w:val="0010122A"/>
    <w:rsid w:val="0010573A"/>
    <w:rsid w:val="001079C7"/>
    <w:rsid w:val="00111382"/>
    <w:rsid w:val="00113A2C"/>
    <w:rsid w:val="001213EA"/>
    <w:rsid w:val="001253EF"/>
    <w:rsid w:val="00136C1B"/>
    <w:rsid w:val="00150026"/>
    <w:rsid w:val="00155D21"/>
    <w:rsid w:val="00157FC4"/>
    <w:rsid w:val="001640D9"/>
    <w:rsid w:val="001731B7"/>
    <w:rsid w:val="00175C86"/>
    <w:rsid w:val="00180FBF"/>
    <w:rsid w:val="00183B6C"/>
    <w:rsid w:val="00184EB2"/>
    <w:rsid w:val="0019413E"/>
    <w:rsid w:val="001A16E5"/>
    <w:rsid w:val="001A566B"/>
    <w:rsid w:val="001A74AB"/>
    <w:rsid w:val="001B046B"/>
    <w:rsid w:val="001B0671"/>
    <w:rsid w:val="001B30D7"/>
    <w:rsid w:val="001B5770"/>
    <w:rsid w:val="001C75AC"/>
    <w:rsid w:val="001D23D3"/>
    <w:rsid w:val="001E00D2"/>
    <w:rsid w:val="001F144A"/>
    <w:rsid w:val="00201131"/>
    <w:rsid w:val="00201886"/>
    <w:rsid w:val="0020446B"/>
    <w:rsid w:val="002123AC"/>
    <w:rsid w:val="00212E07"/>
    <w:rsid w:val="00225027"/>
    <w:rsid w:val="00225DC3"/>
    <w:rsid w:val="0023339D"/>
    <w:rsid w:val="00250321"/>
    <w:rsid w:val="00290F41"/>
    <w:rsid w:val="00291536"/>
    <w:rsid w:val="00292BAE"/>
    <w:rsid w:val="00295FDB"/>
    <w:rsid w:val="002A43F3"/>
    <w:rsid w:val="002A5D71"/>
    <w:rsid w:val="002B0990"/>
    <w:rsid w:val="002C03C3"/>
    <w:rsid w:val="002C1788"/>
    <w:rsid w:val="002D1586"/>
    <w:rsid w:val="002D34E8"/>
    <w:rsid w:val="002D76E8"/>
    <w:rsid w:val="002E2B40"/>
    <w:rsid w:val="002E5F68"/>
    <w:rsid w:val="002F6FD5"/>
    <w:rsid w:val="003176B2"/>
    <w:rsid w:val="00331556"/>
    <w:rsid w:val="00345297"/>
    <w:rsid w:val="00346FBD"/>
    <w:rsid w:val="003577E5"/>
    <w:rsid w:val="00362E30"/>
    <w:rsid w:val="00367315"/>
    <w:rsid w:val="00372B84"/>
    <w:rsid w:val="003754E8"/>
    <w:rsid w:val="00383B1C"/>
    <w:rsid w:val="0038490C"/>
    <w:rsid w:val="00387288"/>
    <w:rsid w:val="00391912"/>
    <w:rsid w:val="00391C9A"/>
    <w:rsid w:val="003A4927"/>
    <w:rsid w:val="003A52FB"/>
    <w:rsid w:val="003A5F75"/>
    <w:rsid w:val="003C11F9"/>
    <w:rsid w:val="003C183D"/>
    <w:rsid w:val="003C4630"/>
    <w:rsid w:val="003D2221"/>
    <w:rsid w:val="003D2586"/>
    <w:rsid w:val="003D7DB5"/>
    <w:rsid w:val="003E56D8"/>
    <w:rsid w:val="003E75DF"/>
    <w:rsid w:val="003F7534"/>
    <w:rsid w:val="00400FCA"/>
    <w:rsid w:val="00406B81"/>
    <w:rsid w:val="004077C6"/>
    <w:rsid w:val="004123F1"/>
    <w:rsid w:val="004228E2"/>
    <w:rsid w:val="00433A74"/>
    <w:rsid w:val="00464986"/>
    <w:rsid w:val="004653A5"/>
    <w:rsid w:val="0046626B"/>
    <w:rsid w:val="00476A2D"/>
    <w:rsid w:val="00496C07"/>
    <w:rsid w:val="004A637F"/>
    <w:rsid w:val="004B507D"/>
    <w:rsid w:val="004C167E"/>
    <w:rsid w:val="004C37F1"/>
    <w:rsid w:val="004C5C54"/>
    <w:rsid w:val="004D2BF9"/>
    <w:rsid w:val="004D4F6D"/>
    <w:rsid w:val="004E648C"/>
    <w:rsid w:val="004E6621"/>
    <w:rsid w:val="004F70BB"/>
    <w:rsid w:val="005033E4"/>
    <w:rsid w:val="005053EE"/>
    <w:rsid w:val="00507A1C"/>
    <w:rsid w:val="005227EE"/>
    <w:rsid w:val="005339C1"/>
    <w:rsid w:val="005362BE"/>
    <w:rsid w:val="00540019"/>
    <w:rsid w:val="00546BD3"/>
    <w:rsid w:val="0054733B"/>
    <w:rsid w:val="00547398"/>
    <w:rsid w:val="00550AD4"/>
    <w:rsid w:val="00551D64"/>
    <w:rsid w:val="005569B3"/>
    <w:rsid w:val="00560054"/>
    <w:rsid w:val="00564DDA"/>
    <w:rsid w:val="00576C20"/>
    <w:rsid w:val="00582637"/>
    <w:rsid w:val="00582B27"/>
    <w:rsid w:val="00585E30"/>
    <w:rsid w:val="005911E7"/>
    <w:rsid w:val="005A5A86"/>
    <w:rsid w:val="005B7FB2"/>
    <w:rsid w:val="005C4D64"/>
    <w:rsid w:val="005D7377"/>
    <w:rsid w:val="005E1FD5"/>
    <w:rsid w:val="005E3B5D"/>
    <w:rsid w:val="00611725"/>
    <w:rsid w:val="00615087"/>
    <w:rsid w:val="00617C02"/>
    <w:rsid w:val="00620E8D"/>
    <w:rsid w:val="00621185"/>
    <w:rsid w:val="00622471"/>
    <w:rsid w:val="00624C37"/>
    <w:rsid w:val="00625E56"/>
    <w:rsid w:val="0062792D"/>
    <w:rsid w:val="00633BD9"/>
    <w:rsid w:val="00644A85"/>
    <w:rsid w:val="00646827"/>
    <w:rsid w:val="00655E75"/>
    <w:rsid w:val="00672D0C"/>
    <w:rsid w:val="00674E3A"/>
    <w:rsid w:val="00690EB9"/>
    <w:rsid w:val="006A124D"/>
    <w:rsid w:val="006A27A4"/>
    <w:rsid w:val="006B132E"/>
    <w:rsid w:val="006C2D7B"/>
    <w:rsid w:val="006F2B53"/>
    <w:rsid w:val="006F3EED"/>
    <w:rsid w:val="006F4380"/>
    <w:rsid w:val="007010EA"/>
    <w:rsid w:val="0071432F"/>
    <w:rsid w:val="007148F3"/>
    <w:rsid w:val="00714E58"/>
    <w:rsid w:val="00715051"/>
    <w:rsid w:val="007217A5"/>
    <w:rsid w:val="00722484"/>
    <w:rsid w:val="007257CF"/>
    <w:rsid w:val="00730D27"/>
    <w:rsid w:val="00731670"/>
    <w:rsid w:val="00732AC7"/>
    <w:rsid w:val="007341FB"/>
    <w:rsid w:val="00741971"/>
    <w:rsid w:val="007536EE"/>
    <w:rsid w:val="00760A52"/>
    <w:rsid w:val="00763469"/>
    <w:rsid w:val="0076511E"/>
    <w:rsid w:val="00776B01"/>
    <w:rsid w:val="0078319D"/>
    <w:rsid w:val="00793F7C"/>
    <w:rsid w:val="007A0020"/>
    <w:rsid w:val="007B7739"/>
    <w:rsid w:val="007C04E0"/>
    <w:rsid w:val="007C43EB"/>
    <w:rsid w:val="007D415D"/>
    <w:rsid w:val="007D601D"/>
    <w:rsid w:val="007E488B"/>
    <w:rsid w:val="007E52D5"/>
    <w:rsid w:val="008156E7"/>
    <w:rsid w:val="00822700"/>
    <w:rsid w:val="00831507"/>
    <w:rsid w:val="00843F89"/>
    <w:rsid w:val="00851509"/>
    <w:rsid w:val="00854305"/>
    <w:rsid w:val="008545E9"/>
    <w:rsid w:val="00863712"/>
    <w:rsid w:val="008710C7"/>
    <w:rsid w:val="008775C3"/>
    <w:rsid w:val="00880345"/>
    <w:rsid w:val="008816D7"/>
    <w:rsid w:val="008962D3"/>
    <w:rsid w:val="008A0C17"/>
    <w:rsid w:val="008B7DEA"/>
    <w:rsid w:val="008C32C1"/>
    <w:rsid w:val="008D53E7"/>
    <w:rsid w:val="008E46D4"/>
    <w:rsid w:val="008E4B23"/>
    <w:rsid w:val="008E6260"/>
    <w:rsid w:val="008F0DC2"/>
    <w:rsid w:val="008F738E"/>
    <w:rsid w:val="009003DE"/>
    <w:rsid w:val="009019CB"/>
    <w:rsid w:val="00923034"/>
    <w:rsid w:val="00923C39"/>
    <w:rsid w:val="0093327A"/>
    <w:rsid w:val="00945DAD"/>
    <w:rsid w:val="00983C32"/>
    <w:rsid w:val="00996884"/>
    <w:rsid w:val="009C5910"/>
    <w:rsid w:val="009F1B68"/>
    <w:rsid w:val="009F3FFC"/>
    <w:rsid w:val="00A168D0"/>
    <w:rsid w:val="00A2084F"/>
    <w:rsid w:val="00A23D59"/>
    <w:rsid w:val="00A3153B"/>
    <w:rsid w:val="00A3474B"/>
    <w:rsid w:val="00A57BA1"/>
    <w:rsid w:val="00A715E9"/>
    <w:rsid w:val="00A73288"/>
    <w:rsid w:val="00A74060"/>
    <w:rsid w:val="00A93621"/>
    <w:rsid w:val="00AA5821"/>
    <w:rsid w:val="00AB0B21"/>
    <w:rsid w:val="00AC04D0"/>
    <w:rsid w:val="00AC3124"/>
    <w:rsid w:val="00AD563E"/>
    <w:rsid w:val="00AD5812"/>
    <w:rsid w:val="00AD70BE"/>
    <w:rsid w:val="00AE43FE"/>
    <w:rsid w:val="00AF14F1"/>
    <w:rsid w:val="00B06EEB"/>
    <w:rsid w:val="00B1402E"/>
    <w:rsid w:val="00B17B28"/>
    <w:rsid w:val="00B17D5E"/>
    <w:rsid w:val="00B221C3"/>
    <w:rsid w:val="00B423DE"/>
    <w:rsid w:val="00B520FF"/>
    <w:rsid w:val="00B54B5B"/>
    <w:rsid w:val="00B701CB"/>
    <w:rsid w:val="00B73DB3"/>
    <w:rsid w:val="00B84A67"/>
    <w:rsid w:val="00B9204A"/>
    <w:rsid w:val="00B95138"/>
    <w:rsid w:val="00B9626C"/>
    <w:rsid w:val="00B967BE"/>
    <w:rsid w:val="00BC6AD5"/>
    <w:rsid w:val="00BD1CF6"/>
    <w:rsid w:val="00BD5CD2"/>
    <w:rsid w:val="00BF097D"/>
    <w:rsid w:val="00BF0A1B"/>
    <w:rsid w:val="00BF282F"/>
    <w:rsid w:val="00C07BEB"/>
    <w:rsid w:val="00C225B5"/>
    <w:rsid w:val="00C2503E"/>
    <w:rsid w:val="00C30459"/>
    <w:rsid w:val="00C359E4"/>
    <w:rsid w:val="00C437E5"/>
    <w:rsid w:val="00C46818"/>
    <w:rsid w:val="00C51CAF"/>
    <w:rsid w:val="00C51E0A"/>
    <w:rsid w:val="00C54064"/>
    <w:rsid w:val="00C56171"/>
    <w:rsid w:val="00C572DC"/>
    <w:rsid w:val="00C60E8C"/>
    <w:rsid w:val="00C6628B"/>
    <w:rsid w:val="00C70E0E"/>
    <w:rsid w:val="00C745F4"/>
    <w:rsid w:val="00C812FF"/>
    <w:rsid w:val="00C83824"/>
    <w:rsid w:val="00CA1F5E"/>
    <w:rsid w:val="00CA5E1A"/>
    <w:rsid w:val="00CA6369"/>
    <w:rsid w:val="00CA65C8"/>
    <w:rsid w:val="00CB0446"/>
    <w:rsid w:val="00CC2FAE"/>
    <w:rsid w:val="00CC4DB6"/>
    <w:rsid w:val="00CC51B1"/>
    <w:rsid w:val="00CC6AC6"/>
    <w:rsid w:val="00CD5F7C"/>
    <w:rsid w:val="00CD74BD"/>
    <w:rsid w:val="00CF4506"/>
    <w:rsid w:val="00CF68CC"/>
    <w:rsid w:val="00CF7B72"/>
    <w:rsid w:val="00CF7EB9"/>
    <w:rsid w:val="00D00CA9"/>
    <w:rsid w:val="00D00F98"/>
    <w:rsid w:val="00D05AAD"/>
    <w:rsid w:val="00D10118"/>
    <w:rsid w:val="00D15157"/>
    <w:rsid w:val="00D177A5"/>
    <w:rsid w:val="00D20CC3"/>
    <w:rsid w:val="00D57A99"/>
    <w:rsid w:val="00D639F9"/>
    <w:rsid w:val="00D658D7"/>
    <w:rsid w:val="00D82761"/>
    <w:rsid w:val="00D90981"/>
    <w:rsid w:val="00D91B71"/>
    <w:rsid w:val="00D930E7"/>
    <w:rsid w:val="00DA0771"/>
    <w:rsid w:val="00DA2633"/>
    <w:rsid w:val="00DA7563"/>
    <w:rsid w:val="00DB2FE9"/>
    <w:rsid w:val="00DB5ECB"/>
    <w:rsid w:val="00DC1A8B"/>
    <w:rsid w:val="00DD3E7E"/>
    <w:rsid w:val="00DD58F8"/>
    <w:rsid w:val="00DE3690"/>
    <w:rsid w:val="00DE3F0D"/>
    <w:rsid w:val="00DE63A6"/>
    <w:rsid w:val="00DE6C1E"/>
    <w:rsid w:val="00E10DA1"/>
    <w:rsid w:val="00E15FA7"/>
    <w:rsid w:val="00E2279F"/>
    <w:rsid w:val="00E3169F"/>
    <w:rsid w:val="00E373EA"/>
    <w:rsid w:val="00E376D0"/>
    <w:rsid w:val="00E3776F"/>
    <w:rsid w:val="00E415F4"/>
    <w:rsid w:val="00E57FAE"/>
    <w:rsid w:val="00E6560E"/>
    <w:rsid w:val="00E73598"/>
    <w:rsid w:val="00E76069"/>
    <w:rsid w:val="00E80A6C"/>
    <w:rsid w:val="00EA11CD"/>
    <w:rsid w:val="00EA128E"/>
    <w:rsid w:val="00EA7BAD"/>
    <w:rsid w:val="00EA7D8E"/>
    <w:rsid w:val="00EB585E"/>
    <w:rsid w:val="00EC5D68"/>
    <w:rsid w:val="00ED01AA"/>
    <w:rsid w:val="00ED4AB6"/>
    <w:rsid w:val="00ED7EF9"/>
    <w:rsid w:val="00EF20C9"/>
    <w:rsid w:val="00EF3B35"/>
    <w:rsid w:val="00EF426E"/>
    <w:rsid w:val="00EF57F8"/>
    <w:rsid w:val="00F1083F"/>
    <w:rsid w:val="00F11057"/>
    <w:rsid w:val="00F21B90"/>
    <w:rsid w:val="00F33059"/>
    <w:rsid w:val="00F33C69"/>
    <w:rsid w:val="00F371DE"/>
    <w:rsid w:val="00F51C7D"/>
    <w:rsid w:val="00F766F2"/>
    <w:rsid w:val="00F774E5"/>
    <w:rsid w:val="00F801E1"/>
    <w:rsid w:val="00F875B8"/>
    <w:rsid w:val="00F9001C"/>
    <w:rsid w:val="00F967E4"/>
    <w:rsid w:val="00FA18B8"/>
    <w:rsid w:val="00FA5462"/>
    <w:rsid w:val="00FB1608"/>
    <w:rsid w:val="00FB57B6"/>
    <w:rsid w:val="00FB58DF"/>
    <w:rsid w:val="00FB5AA7"/>
    <w:rsid w:val="00FB7DE7"/>
    <w:rsid w:val="00FC7E15"/>
    <w:rsid w:val="00FD2947"/>
    <w:rsid w:val="00FD3EC6"/>
    <w:rsid w:val="00FD6382"/>
    <w:rsid w:val="00FE7139"/>
    <w:rsid w:val="00FF7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FBC8"/>
  <w15:docId w15:val="{F8B07B2D-FC3D-4FA8-9A4C-03D288D4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3DE"/>
  </w:style>
  <w:style w:type="paragraph" w:styleId="Ttulo1">
    <w:name w:val="heading 1"/>
    <w:basedOn w:val="Normal"/>
    <w:next w:val="Normal"/>
    <w:link w:val="Ttulo1Char"/>
    <w:qFormat/>
    <w:rsid w:val="004D4F6D"/>
    <w:pPr>
      <w:keepNext/>
      <w:spacing w:before="240" w:after="60" w:line="240" w:lineRule="auto"/>
      <w:outlineLvl w:val="0"/>
    </w:pPr>
    <w:rPr>
      <w:rFonts w:ascii="Arial" w:eastAsia="Times New Roman" w:hAnsi="Arial" w:cs="Arial"/>
      <w:b/>
      <w:bCs/>
      <w:kern w:val="32"/>
      <w:sz w:val="32"/>
      <w:szCs w:val="32"/>
      <w:lang w:val="en-US"/>
    </w:rPr>
  </w:style>
  <w:style w:type="paragraph" w:styleId="Ttulo2">
    <w:name w:val="heading 2"/>
    <w:basedOn w:val="Normal"/>
    <w:next w:val="Normal"/>
    <w:link w:val="Ttulo2Char"/>
    <w:qFormat/>
    <w:rsid w:val="00DA2633"/>
    <w:pPr>
      <w:keepNext/>
      <w:spacing w:before="120" w:after="0" w:line="240" w:lineRule="auto"/>
      <w:outlineLvl w:val="1"/>
    </w:pPr>
    <w:rPr>
      <w:rFonts w:ascii="Arial" w:eastAsia="Times New Roman" w:hAnsi="Arial" w:cs="Arial"/>
      <w:b/>
      <w:bCs/>
      <w:i/>
      <w:iCs/>
      <w:sz w:val="24"/>
      <w:szCs w:val="28"/>
      <w:lang w:val="en-US"/>
    </w:rPr>
  </w:style>
  <w:style w:type="paragraph" w:styleId="Ttulo3">
    <w:name w:val="heading 3"/>
    <w:basedOn w:val="Normal"/>
    <w:next w:val="Normal"/>
    <w:link w:val="Ttulo3Char"/>
    <w:qFormat/>
    <w:rsid w:val="00DA2633"/>
    <w:pPr>
      <w:keepNext/>
      <w:spacing w:before="240" w:after="60" w:line="240" w:lineRule="auto"/>
      <w:outlineLvl w:val="2"/>
    </w:pPr>
    <w:rPr>
      <w:rFonts w:ascii="Cambria" w:eastAsia="Times New Roman" w:hAnsi="Cambria" w:cs="Arial"/>
      <w:b/>
      <w:bCs/>
      <w:sz w:val="24"/>
      <w:szCs w:val="2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3F89"/>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link w:val="SemEspaamentoChar"/>
    <w:uiPriority w:val="1"/>
    <w:qFormat/>
    <w:rsid w:val="003D2221"/>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3D2221"/>
    <w:rPr>
      <w:rFonts w:ascii="Calibri" w:eastAsia="Times New Roman" w:hAnsi="Calibri" w:cs="Times New Roman"/>
      <w:lang w:eastAsia="pt-BR"/>
    </w:rPr>
  </w:style>
  <w:style w:type="paragraph" w:styleId="PargrafodaLista">
    <w:name w:val="List Paragraph"/>
    <w:basedOn w:val="Normal"/>
    <w:uiPriority w:val="99"/>
    <w:qFormat/>
    <w:rsid w:val="00AC3124"/>
    <w:pPr>
      <w:ind w:left="720"/>
      <w:contextualSpacing/>
    </w:pPr>
  </w:style>
  <w:style w:type="character" w:styleId="Hyperlink">
    <w:name w:val="Hyperlink"/>
    <w:basedOn w:val="Fontepargpadro"/>
    <w:uiPriority w:val="99"/>
    <w:unhideWhenUsed/>
    <w:rsid w:val="007D415D"/>
    <w:rPr>
      <w:color w:val="0000FF"/>
      <w:u w:val="single"/>
    </w:rPr>
  </w:style>
  <w:style w:type="table" w:styleId="Tabelacomgrade">
    <w:name w:val="Table Grid"/>
    <w:basedOn w:val="Tabelanormal"/>
    <w:uiPriority w:val="59"/>
    <w:rsid w:val="004A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D4F6D"/>
    <w:rPr>
      <w:rFonts w:ascii="Arial" w:eastAsia="Times New Roman" w:hAnsi="Arial" w:cs="Arial"/>
      <w:b/>
      <w:bCs/>
      <w:kern w:val="32"/>
      <w:sz w:val="32"/>
      <w:szCs w:val="32"/>
      <w:lang w:val="en-US"/>
    </w:rPr>
  </w:style>
  <w:style w:type="character" w:customStyle="1" w:styleId="Ttulo2Char">
    <w:name w:val="Título 2 Char"/>
    <w:basedOn w:val="Fontepargpadro"/>
    <w:link w:val="Ttulo2"/>
    <w:rsid w:val="00DA2633"/>
    <w:rPr>
      <w:rFonts w:ascii="Arial" w:eastAsia="Times New Roman" w:hAnsi="Arial" w:cs="Arial"/>
      <w:b/>
      <w:bCs/>
      <w:i/>
      <w:iCs/>
      <w:sz w:val="24"/>
      <w:szCs w:val="28"/>
      <w:lang w:val="en-US"/>
    </w:rPr>
  </w:style>
  <w:style w:type="character" w:customStyle="1" w:styleId="Ttulo3Char">
    <w:name w:val="Título 3 Char"/>
    <w:basedOn w:val="Fontepargpadro"/>
    <w:link w:val="Ttulo3"/>
    <w:rsid w:val="00DA2633"/>
    <w:rPr>
      <w:rFonts w:ascii="Cambria" w:eastAsia="Times New Roman" w:hAnsi="Cambria" w:cs="Arial"/>
      <w:b/>
      <w:bCs/>
      <w:sz w:val="24"/>
      <w:szCs w:val="26"/>
      <w:lang w:val="en-US"/>
    </w:rPr>
  </w:style>
  <w:style w:type="paragraph" w:styleId="NormalWeb">
    <w:name w:val="Normal (Web)"/>
    <w:basedOn w:val="Normal"/>
    <w:uiPriority w:val="99"/>
    <w:rsid w:val="004D4F6D"/>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apple-style-span">
    <w:name w:val="apple-style-span"/>
    <w:rsid w:val="004D4F6D"/>
  </w:style>
  <w:style w:type="paragraph" w:styleId="CabealhodoSumrio">
    <w:name w:val="TOC Heading"/>
    <w:basedOn w:val="Ttulo1"/>
    <w:next w:val="Normal"/>
    <w:uiPriority w:val="39"/>
    <w:unhideWhenUsed/>
    <w:qFormat/>
    <w:rsid w:val="00A3474B"/>
    <w:pPr>
      <w:keepLines/>
      <w:spacing w:after="0" w:line="259" w:lineRule="auto"/>
      <w:outlineLvl w:val="9"/>
    </w:pPr>
    <w:rPr>
      <w:rFonts w:asciiTheme="majorHAnsi" w:eastAsiaTheme="majorEastAsia" w:hAnsiTheme="majorHAnsi" w:cstheme="majorBidi"/>
      <w:b w:val="0"/>
      <w:bCs w:val="0"/>
      <w:color w:val="365F91" w:themeColor="accent1" w:themeShade="BF"/>
      <w:kern w:val="0"/>
      <w:lang w:val="pt-BR" w:eastAsia="pt-BR"/>
    </w:rPr>
  </w:style>
  <w:style w:type="paragraph" w:styleId="Sumrio2">
    <w:name w:val="toc 2"/>
    <w:basedOn w:val="Normal"/>
    <w:next w:val="Normal"/>
    <w:autoRedefine/>
    <w:uiPriority w:val="39"/>
    <w:unhideWhenUsed/>
    <w:rsid w:val="00D57A99"/>
    <w:pPr>
      <w:tabs>
        <w:tab w:val="right" w:leader="dot" w:pos="9736"/>
      </w:tabs>
      <w:spacing w:after="0" w:line="240" w:lineRule="auto"/>
      <w:ind w:left="221"/>
    </w:pPr>
  </w:style>
  <w:style w:type="paragraph" w:styleId="Sumrio3">
    <w:name w:val="toc 3"/>
    <w:basedOn w:val="Normal"/>
    <w:next w:val="Normal"/>
    <w:autoRedefine/>
    <w:uiPriority w:val="39"/>
    <w:unhideWhenUsed/>
    <w:rsid w:val="00D57A99"/>
    <w:pPr>
      <w:tabs>
        <w:tab w:val="right" w:leader="dot" w:pos="9736"/>
      </w:tabs>
      <w:spacing w:after="100" w:line="240" w:lineRule="auto"/>
      <w:ind w:left="442"/>
      <w:jc w:val="right"/>
    </w:pPr>
  </w:style>
  <w:style w:type="character" w:styleId="RefernciaIntensa">
    <w:name w:val="Intense Reference"/>
    <w:basedOn w:val="Fontepargpadro"/>
    <w:uiPriority w:val="32"/>
    <w:qFormat/>
    <w:rsid w:val="00A3474B"/>
    <w:rPr>
      <w:b/>
      <w:bCs/>
      <w:smallCaps/>
      <w:color w:val="4F81BD" w:themeColor="accent1"/>
      <w:spacing w:val="5"/>
    </w:rPr>
  </w:style>
  <w:style w:type="paragraph" w:styleId="Sumrio1">
    <w:name w:val="toc 1"/>
    <w:basedOn w:val="Normal"/>
    <w:next w:val="Normal"/>
    <w:autoRedefine/>
    <w:uiPriority w:val="39"/>
    <w:unhideWhenUsed/>
    <w:rsid w:val="00D57A99"/>
    <w:pPr>
      <w:tabs>
        <w:tab w:val="right" w:leader="dot" w:pos="9911"/>
      </w:tabs>
      <w:spacing w:after="40"/>
    </w:pPr>
  </w:style>
  <w:style w:type="paragraph" w:styleId="Cabealho">
    <w:name w:val="header"/>
    <w:basedOn w:val="Normal"/>
    <w:link w:val="CabealhoChar"/>
    <w:uiPriority w:val="99"/>
    <w:unhideWhenUsed/>
    <w:rsid w:val="002B09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0990"/>
  </w:style>
  <w:style w:type="paragraph" w:styleId="Rodap">
    <w:name w:val="footer"/>
    <w:basedOn w:val="Normal"/>
    <w:link w:val="RodapChar"/>
    <w:uiPriority w:val="99"/>
    <w:unhideWhenUsed/>
    <w:rsid w:val="002B0990"/>
    <w:pPr>
      <w:tabs>
        <w:tab w:val="center" w:pos="4252"/>
        <w:tab w:val="right" w:pos="8504"/>
      </w:tabs>
      <w:spacing w:after="0" w:line="240" w:lineRule="auto"/>
    </w:pPr>
  </w:style>
  <w:style w:type="character" w:customStyle="1" w:styleId="RodapChar">
    <w:name w:val="Rodapé Char"/>
    <w:basedOn w:val="Fontepargpadro"/>
    <w:link w:val="Rodap"/>
    <w:uiPriority w:val="99"/>
    <w:rsid w:val="002B0990"/>
  </w:style>
  <w:style w:type="paragraph" w:styleId="Textodebalo">
    <w:name w:val="Balloon Text"/>
    <w:basedOn w:val="Normal"/>
    <w:link w:val="TextodebaloChar"/>
    <w:uiPriority w:val="99"/>
    <w:semiHidden/>
    <w:unhideWhenUsed/>
    <w:rsid w:val="00C304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0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970848">
      <w:bodyDiv w:val="1"/>
      <w:marLeft w:val="0"/>
      <w:marRight w:val="0"/>
      <w:marTop w:val="0"/>
      <w:marBottom w:val="0"/>
      <w:divBdr>
        <w:top w:val="none" w:sz="0" w:space="0" w:color="auto"/>
        <w:left w:val="none" w:sz="0" w:space="0" w:color="auto"/>
        <w:bottom w:val="none" w:sz="0" w:space="0" w:color="auto"/>
        <w:right w:val="none" w:sz="0" w:space="0" w:color="auto"/>
      </w:divBdr>
    </w:div>
    <w:div w:id="647586550">
      <w:bodyDiv w:val="1"/>
      <w:marLeft w:val="0"/>
      <w:marRight w:val="0"/>
      <w:marTop w:val="0"/>
      <w:marBottom w:val="0"/>
      <w:divBdr>
        <w:top w:val="none" w:sz="0" w:space="0" w:color="auto"/>
        <w:left w:val="none" w:sz="0" w:space="0" w:color="auto"/>
        <w:bottom w:val="none" w:sz="0" w:space="0" w:color="auto"/>
        <w:right w:val="none" w:sz="0" w:space="0" w:color="auto"/>
      </w:divBdr>
    </w:div>
    <w:div w:id="726992006">
      <w:bodyDiv w:val="1"/>
      <w:marLeft w:val="0"/>
      <w:marRight w:val="0"/>
      <w:marTop w:val="0"/>
      <w:marBottom w:val="0"/>
      <w:divBdr>
        <w:top w:val="none" w:sz="0" w:space="0" w:color="auto"/>
        <w:left w:val="none" w:sz="0" w:space="0" w:color="auto"/>
        <w:bottom w:val="none" w:sz="0" w:space="0" w:color="auto"/>
        <w:right w:val="none" w:sz="0" w:space="0" w:color="auto"/>
      </w:divBdr>
    </w:div>
    <w:div w:id="943271531">
      <w:bodyDiv w:val="1"/>
      <w:marLeft w:val="0"/>
      <w:marRight w:val="0"/>
      <w:marTop w:val="0"/>
      <w:marBottom w:val="0"/>
      <w:divBdr>
        <w:top w:val="none" w:sz="0" w:space="0" w:color="auto"/>
        <w:left w:val="none" w:sz="0" w:space="0" w:color="auto"/>
        <w:bottom w:val="none" w:sz="0" w:space="0" w:color="auto"/>
        <w:right w:val="none" w:sz="0" w:space="0" w:color="auto"/>
      </w:divBdr>
    </w:div>
    <w:div w:id="1063913481">
      <w:bodyDiv w:val="1"/>
      <w:marLeft w:val="0"/>
      <w:marRight w:val="0"/>
      <w:marTop w:val="0"/>
      <w:marBottom w:val="0"/>
      <w:divBdr>
        <w:top w:val="none" w:sz="0" w:space="0" w:color="auto"/>
        <w:left w:val="none" w:sz="0" w:space="0" w:color="auto"/>
        <w:bottom w:val="none" w:sz="0" w:space="0" w:color="auto"/>
        <w:right w:val="none" w:sz="0" w:space="0" w:color="auto"/>
      </w:divBdr>
    </w:div>
    <w:div w:id="1472282842">
      <w:bodyDiv w:val="1"/>
      <w:marLeft w:val="0"/>
      <w:marRight w:val="0"/>
      <w:marTop w:val="0"/>
      <w:marBottom w:val="0"/>
      <w:divBdr>
        <w:top w:val="none" w:sz="0" w:space="0" w:color="auto"/>
        <w:left w:val="none" w:sz="0" w:space="0" w:color="auto"/>
        <w:bottom w:val="none" w:sz="0" w:space="0" w:color="auto"/>
        <w:right w:val="none" w:sz="0" w:space="0" w:color="auto"/>
      </w:divBdr>
    </w:div>
    <w:div w:id="1535145420">
      <w:bodyDiv w:val="1"/>
      <w:marLeft w:val="0"/>
      <w:marRight w:val="0"/>
      <w:marTop w:val="0"/>
      <w:marBottom w:val="0"/>
      <w:divBdr>
        <w:top w:val="none" w:sz="0" w:space="0" w:color="auto"/>
        <w:left w:val="none" w:sz="0" w:space="0" w:color="auto"/>
        <w:bottom w:val="none" w:sz="0" w:space="0" w:color="auto"/>
        <w:right w:val="none" w:sz="0" w:space="0" w:color="auto"/>
      </w:divBdr>
    </w:div>
    <w:div w:id="15558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PI 2019</PublishDate>
  <Abstract>Este documento aborda o processo de seleção e alocação de valores mobiliários do IPESMUC, de acordo com a legislação vigente.</Abstract>
  <CompanyAddress/>
  <CompanyPhone/>
  <CompanyFax/>
  <CompanyEmail>03.548.627/0001-70</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62558B1D9EC4343BEA3957F7EB7CF9F" ma:contentTypeVersion="4" ma:contentTypeDescription="Crie um novo documento." ma:contentTypeScope="" ma:versionID="c1b833a6e6022057a04b62c81445ce2b">
  <xsd:schema xmlns:xsd="http://www.w3.org/2001/XMLSchema" xmlns:xs="http://www.w3.org/2001/XMLSchema" xmlns:p="http://schemas.microsoft.com/office/2006/metadata/properties" xmlns:ns2="0b8e5562-6464-40a1-a67f-65edd3d88368" targetNamespace="http://schemas.microsoft.com/office/2006/metadata/properties" ma:root="true" ma:fieldsID="d5617a7b6f32f43e0775652d9cb208ac" ns2:_="">
    <xsd:import namespace="0b8e5562-6464-40a1-a67f-65edd3d883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e5562-6464-40a1-a67f-65edd3d88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F8B60-430E-4D52-88AE-EF1DE8F9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e5562-6464-40a1-a67f-65edd3d88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B0430-41F6-4CD8-BBE5-77B9507336FB}">
  <ds:schemaRefs>
    <ds:schemaRef ds:uri="http://schemas.microsoft.com/sharepoint/v3/contenttype/forms"/>
  </ds:schemaRefs>
</ds:datastoreItem>
</file>

<file path=customXml/itemProps4.xml><?xml version="1.0" encoding="utf-8"?>
<ds:datastoreItem xmlns:ds="http://schemas.openxmlformats.org/officeDocument/2006/customXml" ds:itemID="{E11E99D6-AC82-4E12-9EC8-D37D7AECA4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0AE82E-10FC-4F22-8E51-D5E510FA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7570</Words>
  <Characters>40880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Política de Investimentos</vt:lpstr>
    </vt:vector>
  </TitlesOfParts>
  <Company>Toshiba</Company>
  <LinksUpToDate>false</LinksUpToDate>
  <CharactersWithSpaces>48354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Investimentos</dc:title>
  <dc:subject>2019</dc:subject>
  <dc:creator>IPESMUC</dc:creator>
  <cp:lastModifiedBy>Lenovo</cp:lastModifiedBy>
  <cp:revision>4</cp:revision>
  <cp:lastPrinted>2018-11-07T20:06:00Z</cp:lastPrinted>
  <dcterms:created xsi:type="dcterms:W3CDTF">2018-11-07T17:33:00Z</dcterms:created>
  <dcterms:modified xsi:type="dcterms:W3CDTF">2018-11-07T20:08:00Z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0x010100062558B1D9EC4343BEA3957F7EB7CF9F</vt:lpwstr>
  </property>
</Properties>
</file>